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Arial" w:hAnsi="Arial" w:cs="Arial"/>
          <w:b/>
          <w:b/>
          <w:sz w:val="100"/>
          <w:szCs w:val="100"/>
        </w:rPr>
      </w:pPr>
      <w:bookmarkStart w:id="0" w:name="Bookmark"/>
      <w:bookmarkStart w:id="1" w:name="_Toc359336481"/>
      <w:bookmarkStart w:id="2" w:name="Bookmark"/>
      <w:bookmarkStart w:id="3" w:name="_Toc359336481"/>
      <w:bookmarkEnd w:id="2"/>
      <w:bookmarkEnd w:id="3"/>
      <w:r>
        <w:rPr>
          <w:rFonts w:cs="Arial" w:ascii="Arial" w:hAnsi="Arial"/>
          <w:b/>
          <w:sz w:val="100"/>
          <w:szCs w:val="100"/>
        </w:rPr>
        <w:drawing>
          <wp:anchor behindDoc="0" distT="0" distB="0" distL="114300" distR="114300" simplePos="0" locked="0" layoutInCell="1" allowOverlap="1" relativeHeight="3">
            <wp:simplePos x="0" y="0"/>
            <wp:positionH relativeFrom="column">
              <wp:posOffset>3454400</wp:posOffset>
            </wp:positionH>
            <wp:positionV relativeFrom="paragraph">
              <wp:posOffset>0</wp:posOffset>
            </wp:positionV>
            <wp:extent cx="2962275" cy="230568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62275" cy="2305685"/>
                    </a:xfrm>
                    <a:prstGeom prst="rect">
                      <a:avLst/>
                    </a:prstGeom>
                  </pic:spPr>
                </pic:pic>
              </a:graphicData>
            </a:graphic>
          </wp:anchor>
        </w:drawing>
        <mc:AlternateContent>
          <mc:Choice Requires="wps">
            <w:drawing>
              <wp:anchor behindDoc="1" distT="0" distB="0" distL="0" distR="0" simplePos="0" locked="0" layoutInCell="1" allowOverlap="1" relativeHeight="2">
                <wp:simplePos x="0" y="0"/>
                <wp:positionH relativeFrom="column">
                  <wp:posOffset>0</wp:posOffset>
                </wp:positionH>
                <wp:positionV relativeFrom="page">
                  <wp:posOffset>0</wp:posOffset>
                </wp:positionV>
                <wp:extent cx="2962910" cy="2306320"/>
                <wp:effectExtent l="0" t="0" r="0" b="0"/>
                <wp:wrapSquare wrapText="bothSides"/>
                <wp:docPr id="2" name="Tabbed Sea CMYK.eps"/>
                <a:graphic xmlns:a="http://schemas.openxmlformats.org/drawingml/2006/main">
                  <a:graphicData uri="http://schemas.openxmlformats.org/drawingml/2006/picture">
                    <pic:pic xmlns:pic="http://schemas.openxmlformats.org/drawingml/2006/picture">
                      <pic:nvPicPr>
                        <pic:cNvPr id="0" name="Tabbed Sea CMYK.eps" descr=""/>
                        <pic:cNvPicPr/>
                      </pic:nvPicPr>
                      <pic:blipFill>
                        <a:blip r:embed="rId3"/>
                        <a:stretch/>
                      </pic:blipFill>
                      <pic:spPr>
                        <a:xfrm>
                          <a:off x="0" y="0"/>
                          <a:ext cx="2962440" cy="2305800"/>
                        </a:xfrm>
                        <a:prstGeom prst="rect">
                          <a:avLst/>
                        </a:prstGeom>
                        <a:ln>
                          <a:noFill/>
                        </a:ln>
                      </pic:spPr>
                    </pic:pic>
                  </a:graphicData>
                </a:graphic>
              </wp:anchor>
            </w:drawing>
          </mc:Choice>
          <mc:Fallback>
            <w:pict>
              <v:rect id="shape_0" ID="Tabbed Sea CMYK.eps" stroked="f" style="position:absolute;margin-left:0pt;margin-top:0pt;width:233.2pt;height:181.5pt;mso-position-vertical-relative:page">
                <v:imagedata r:id="rId4" o:detectmouseclick="t"/>
                <w10:wrap type="none"/>
                <v:stroke color="gray" joinstyle="round" endcap="flat"/>
              </v:rect>
            </w:pict>
          </mc:Fallback>
        </mc:AlternateContent>
      </w:r>
    </w:p>
    <w:p>
      <w:pPr>
        <w:pStyle w:val="Normal"/>
        <w:spacing w:lineRule="auto" w:line="276" w:before="0" w:after="200"/>
        <w:rPr>
          <w:rFonts w:ascii="Arial" w:hAnsi="Arial" w:cs="Arial"/>
          <w:b/>
          <w:b/>
          <w:sz w:val="100"/>
          <w:szCs w:val="100"/>
        </w:rPr>
      </w:pPr>
      <w:r>
        <w:rPr>
          <w:rFonts w:cs="Arial" w:ascii="Arial" w:hAnsi="Arial"/>
          <w:b/>
          <w:sz w:val="100"/>
          <w:szCs w:val="100"/>
        </w:rPr>
      </w:r>
    </w:p>
    <w:p>
      <w:pPr>
        <w:pStyle w:val="Normal"/>
        <w:spacing w:lineRule="auto" w:line="276" w:before="0" w:after="200"/>
        <w:rPr>
          <w:rFonts w:ascii="Arial" w:hAnsi="Arial" w:cs="Arial"/>
          <w:b/>
          <w:b/>
          <w:sz w:val="72"/>
          <w:szCs w:val="72"/>
        </w:rPr>
      </w:pPr>
      <w:r>
        <w:rPr>
          <w:rFonts w:cs="Arial" w:ascii="Arial" w:hAnsi="Arial"/>
          <w:b/>
          <w:sz w:val="72"/>
          <w:szCs w:val="72"/>
        </w:rPr>
      </w:r>
    </w:p>
    <w:p>
      <w:pPr>
        <w:pStyle w:val="Normal"/>
        <w:spacing w:before="0" w:after="200"/>
        <w:rPr>
          <w:rFonts w:ascii="Arial" w:hAnsi="Arial" w:cs="Arial"/>
          <w:b/>
          <w:b/>
          <w:sz w:val="72"/>
          <w:szCs w:val="72"/>
        </w:rPr>
      </w:pPr>
      <w:r>
        <w:rPr>
          <w:rFonts w:cs="Arial" w:ascii="Arial" w:hAnsi="Arial"/>
          <w:b/>
          <w:sz w:val="72"/>
          <w:szCs w:val="72"/>
        </w:rPr>
      </w:r>
    </w:p>
    <w:p>
      <w:pPr>
        <w:pStyle w:val="Normal"/>
        <w:spacing w:before="0" w:after="200"/>
        <w:rPr>
          <w:rFonts w:ascii="Arial" w:hAnsi="Arial" w:cs="Arial"/>
          <w:b/>
          <w:b/>
          <w:sz w:val="72"/>
          <w:szCs w:val="72"/>
        </w:rPr>
      </w:pPr>
      <w:r>
        <w:rPr>
          <w:rFonts w:cs="Arial" w:ascii="Arial" w:hAnsi="Arial"/>
          <w:b/>
          <w:sz w:val="72"/>
          <w:szCs w:val="72"/>
        </w:rPr>
        <w:t>MODEL STANDING</w:t>
      </w:r>
    </w:p>
    <w:p>
      <w:pPr>
        <w:pStyle w:val="Normal"/>
        <w:spacing w:before="0" w:after="200"/>
        <w:rPr>
          <w:rFonts w:ascii="Arial" w:hAnsi="Arial" w:cs="Arial"/>
          <w:b/>
          <w:b/>
          <w:sz w:val="72"/>
          <w:szCs w:val="72"/>
        </w:rPr>
      </w:pPr>
      <w:r>
        <w:rPr>
          <w:rFonts w:cs="Arial" w:ascii="Arial" w:hAnsi="Arial"/>
          <w:b/>
          <w:sz w:val="72"/>
          <w:szCs w:val="72"/>
        </w:rPr>
        <w:t xml:space="preserve">ORDERS 2018 </w:t>
      </w:r>
    </w:p>
    <w:p>
      <w:pPr>
        <w:pStyle w:val="Normal"/>
        <w:spacing w:before="0" w:after="200"/>
        <w:rPr>
          <w:rFonts w:ascii="Arial" w:hAnsi="Arial" w:cs="Arial"/>
          <w:b/>
          <w:b/>
          <w:sz w:val="72"/>
          <w:szCs w:val="72"/>
        </w:rPr>
      </w:pPr>
      <w:r>
        <w:rPr>
          <w:rFonts w:cs="Arial" w:ascii="Arial" w:hAnsi="Arial"/>
          <w:b/>
          <w:sz w:val="72"/>
          <w:szCs w:val="72"/>
        </w:rPr>
        <w:t>(WALES)</w:t>
      </w:r>
      <w:r>
        <w:br w:type="page"/>
      </w:r>
    </w:p>
    <w:p>
      <w:pPr>
        <w:pStyle w:val="Normal"/>
        <w:spacing w:lineRule="auto" w:line="276" w:before="0" w:after="200"/>
        <w:rPr>
          <w:rFonts w:ascii="Arial" w:hAnsi="Arial" w:cs="Arial"/>
          <w:b/>
          <w:b/>
          <w:bCs/>
          <w:color w:val="000000"/>
          <w:sz w:val="22"/>
          <w:szCs w:val="22"/>
        </w:rPr>
      </w:pPr>
      <w:bookmarkStart w:id="4" w:name="Bookmark"/>
      <w:bookmarkEnd w:id="4"/>
      <w:r>
        <w:rPr>
          <w:rFonts w:cs="Arial" w:ascii="Arial" w:hAnsi="Arial"/>
          <w:b/>
          <w:bCs/>
          <w:color w:val="000000"/>
          <w:sz w:val="22"/>
          <w:szCs w:val="22"/>
        </w:rPr>
        <w:t>National Association of Local Councils (NALC)</w:t>
        <w:br/>
        <w:t>109 Great Russell Street</w:t>
        <w:br/>
        <w:t>London</w:t>
        <w:br/>
        <w:t>WC1B 3LD</w:t>
      </w:r>
    </w:p>
    <w:p>
      <w:pPr>
        <w:pStyle w:val="Normal"/>
        <w:spacing w:lineRule="auto" w:line="276" w:before="0" w:after="200"/>
        <w:rPr>
          <w:rFonts w:ascii="Arial" w:hAnsi="Arial" w:cs="Arial"/>
          <w:b/>
          <w:b/>
          <w:bCs/>
          <w:color w:val="000000"/>
          <w:sz w:val="22"/>
          <w:szCs w:val="22"/>
        </w:rPr>
      </w:pPr>
      <w:r>
        <w:rPr>
          <w:rFonts w:cs="Arial" w:ascii="Arial" w:hAnsi="Arial"/>
          <w:b/>
          <w:bCs/>
          <w:color w:val="000000"/>
          <w:sz w:val="22"/>
          <w:szCs w:val="22"/>
        </w:rPr>
        <w:t>020 7637 1865 | nalc@nalc.gov.uk | www.nalc.gov.uk</w:t>
      </w:r>
    </w:p>
    <w:p>
      <w:pPr>
        <w:pStyle w:val="Normal"/>
        <w:spacing w:lineRule="auto" w:line="276" w:before="0" w:after="200"/>
        <w:rPr>
          <w:rFonts w:ascii="Arial" w:hAnsi="Arial" w:cs="Arial"/>
          <w:b/>
          <w:b/>
          <w:bCs/>
          <w:color w:val="000000"/>
          <w:sz w:val="22"/>
          <w:szCs w:val="22"/>
          <w:lang w:eastAsia="en-GB"/>
        </w:rPr>
      </w:pPr>
      <w:bookmarkStart w:id="5" w:name="Bookmark2"/>
      <w:bookmarkStart w:id="6" w:name="_Toc357072129"/>
      <w:bookmarkStart w:id="7" w:name="_Toc359318554"/>
      <w:bookmarkStart w:id="8" w:name="_Toc359334502"/>
      <w:r>
        <w:rPr>
          <w:rFonts w:cs="Arial" w:ascii="Arial" w:hAnsi="Arial"/>
          <w:b/>
          <w:bCs/>
          <w:color w:val="000000"/>
          <w:sz w:val="22"/>
          <w:szCs w:val="22"/>
          <w:lang w:eastAsia="en-GB"/>
        </w:rPr>
        <w:t xml:space="preserve"> </w:t>
      </w:r>
      <w:r>
        <w:rPr>
          <w:rFonts w:cs="Arial" w:ascii="Arial" w:hAnsi="Arial"/>
          <w:b/>
          <w:bCs/>
          <w:color w:val="000000"/>
          <w:sz w:val="22"/>
          <w:szCs w:val="22"/>
          <w:lang w:eastAsia="en-GB"/>
        </w:rPr>
        <w:t>© NALC 2018. All rights are reserved. No part of this publication may be reproduced or used for commercial purposes without the written permission of NALC save that councils in membership of One Voice Wales have permission to edit and use  the model standing orders  in this publication for their governance purposes.</w:t>
      </w:r>
    </w:p>
    <w:p>
      <w:pPr>
        <w:pStyle w:val="Normal"/>
        <w:spacing w:lineRule="auto" w:line="276" w:before="0" w:after="200"/>
        <w:rPr>
          <w:rFonts w:ascii="Arial" w:hAnsi="Arial" w:cs="Arial"/>
          <w:b/>
          <w:b/>
          <w:bCs/>
          <w:color w:val="000000"/>
          <w:sz w:val="22"/>
          <w:szCs w:val="22"/>
          <w:lang w:eastAsia="en-GB"/>
        </w:rPr>
      </w:pPr>
      <w:r>
        <w:rPr>
          <w:rFonts w:cs="Arial" w:ascii="Arial" w:hAnsi="Arial"/>
          <w:b/>
          <w:bCs/>
          <w:color w:val="000000"/>
          <w:sz w:val="22"/>
          <w:szCs w:val="22"/>
          <w:lang w:eastAsia="en-GB"/>
        </w:rPr>
        <w:t>Permission is given to use NALC’s logo in the presented format only.</w:t>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Normal"/>
        <w:rPr>
          <w:lang w:eastAsia="en-GB"/>
        </w:rPr>
      </w:pPr>
      <w:r>
        <w:rPr>
          <w:lang w:eastAsia="en-GB"/>
        </w:rPr>
      </w:r>
    </w:p>
    <w:p>
      <w:pPr>
        <w:pStyle w:val="Normal"/>
        <w:rPr>
          <w:lang w:eastAsia="en-GB"/>
        </w:rPr>
      </w:pPr>
      <w:r>
        <w:rPr>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rPr>
          <w:rFonts w:ascii="Arial" w:hAnsi="Arial" w:cs="Arial"/>
          <w:sz w:val="22"/>
          <w:szCs w:val="22"/>
          <w:lang w:eastAsia="en-GB"/>
        </w:rPr>
      </w:pPr>
      <w:r>
        <w:rPr>
          <w:rFonts w:cs="Arial" w:ascii="Arial" w:hAnsi="Arial"/>
          <w:sz w:val="22"/>
          <w:szCs w:val="22"/>
          <w:lang w:eastAsia="en-GB"/>
        </w:rPr>
      </w:r>
    </w:p>
    <w:p>
      <w:pPr>
        <w:pStyle w:val="Contents1"/>
        <w:tabs>
          <w:tab w:val="right" w:pos="8306" w:leader="dot"/>
        </w:tabs>
        <w:rPr/>
      </w:pPr>
      <w:r>
        <w:fldChar w:fldCharType="begin"/>
      </w:r>
      <w:r>
        <w:instrText> TOC \o "1-1" </w:instrText>
      </w:r>
      <w:r>
        <w:fldChar w:fldCharType="separate"/>
      </w:r>
      <w:hyperlink w:anchor="__RefHeading__1826_1299669005">
        <w:r>
          <w:rPr>
            <w:rStyle w:val="InternetLink"/>
          </w:rPr>
          <w:t>INTRODUCTION</w:t>
          <w:tab/>
          <w:t>4</w:t>
        </w:r>
      </w:hyperlink>
    </w:p>
    <w:p>
      <w:pPr>
        <w:pStyle w:val="Contents1"/>
        <w:tabs>
          <w:tab w:val="right" w:pos="8306" w:leader="dot"/>
        </w:tabs>
        <w:rPr/>
      </w:pPr>
      <w:hyperlink w:anchor="__RefHeading__1828_1299669005">
        <w:r>
          <w:rPr>
            <w:rStyle w:val="InternetLink"/>
          </w:rPr>
          <w:t>RULES OF DEBATE AT MEETINGS</w:t>
          <w:tab/>
          <w:t>6</w:t>
        </w:r>
      </w:hyperlink>
    </w:p>
    <w:p>
      <w:pPr>
        <w:pStyle w:val="Contents1"/>
        <w:tabs>
          <w:tab w:val="right" w:pos="8306" w:leader="dot"/>
        </w:tabs>
        <w:rPr/>
      </w:pPr>
      <w:hyperlink w:anchor="__RefHeading__1830_1299669005">
        <w:r>
          <w:rPr>
            <w:rStyle w:val="InternetLink"/>
          </w:rPr>
          <w:t>DISORDERLY CONDUCT AT MEETINGS</w:t>
          <w:tab/>
          <w:t>8</w:t>
        </w:r>
      </w:hyperlink>
    </w:p>
    <w:p>
      <w:pPr>
        <w:pStyle w:val="Contents1"/>
        <w:tabs>
          <w:tab w:val="right" w:pos="8306" w:leader="dot"/>
        </w:tabs>
        <w:rPr/>
      </w:pPr>
      <w:hyperlink w:anchor="__RefHeading__1832_1299669005">
        <w:r>
          <w:rPr>
            <w:rStyle w:val="InternetLink"/>
          </w:rPr>
          <w:t>MEETINGS GENERALLY</w:t>
          <w:tab/>
          <w:t>8</w:t>
        </w:r>
      </w:hyperlink>
    </w:p>
    <w:p>
      <w:pPr>
        <w:pStyle w:val="Contents1"/>
        <w:tabs>
          <w:tab w:val="right" w:pos="8306" w:leader="dot"/>
        </w:tabs>
        <w:rPr/>
      </w:pPr>
      <w:hyperlink w:anchor="__RefHeading__1834_1299669005">
        <w:r>
          <w:rPr>
            <w:rStyle w:val="InternetLink"/>
          </w:rPr>
          <w:t>COMMITTEES AND SUB-COMMITTEES</w:t>
          <w:tab/>
          <w:t>12</w:t>
        </w:r>
      </w:hyperlink>
    </w:p>
    <w:p>
      <w:pPr>
        <w:pStyle w:val="Contents1"/>
        <w:tabs>
          <w:tab w:val="right" w:pos="8306" w:leader="dot"/>
        </w:tabs>
        <w:rPr/>
      </w:pPr>
      <w:hyperlink w:anchor="__RefHeading__1836_1299669005">
        <w:r>
          <w:rPr>
            <w:rStyle w:val="InternetLink"/>
          </w:rPr>
          <w:t xml:space="preserve">ORDINARY COUNCIL MEETINGS </w:t>
          <w:tab/>
          <w:t>13</w:t>
        </w:r>
      </w:hyperlink>
    </w:p>
    <w:p>
      <w:pPr>
        <w:pStyle w:val="Contents1"/>
        <w:tabs>
          <w:tab w:val="right" w:pos="8306" w:leader="dot"/>
        </w:tabs>
        <w:rPr/>
      </w:pPr>
      <w:hyperlink w:anchor="__RefHeading__1838_1299669005">
        <w:r>
          <w:rPr>
            <w:rStyle w:val="InternetLink"/>
          </w:rPr>
          <w:t>EXTRAORDINARY MEETINGS OF THE COUNCIL, COMMITTEES AND SUB-COMMITTEES</w:t>
          <w:tab/>
          <w:t>16</w:t>
        </w:r>
      </w:hyperlink>
    </w:p>
    <w:p>
      <w:pPr>
        <w:pStyle w:val="Contents1"/>
        <w:tabs>
          <w:tab w:val="right" w:pos="8306" w:leader="dot"/>
        </w:tabs>
        <w:rPr/>
      </w:pPr>
      <w:hyperlink w:anchor="__RefHeading__1840_1299669005">
        <w:r>
          <w:rPr>
            <w:rStyle w:val="InternetLink"/>
          </w:rPr>
          <w:t>PREVIOUS RESOLUTIONS</w:t>
          <w:tab/>
          <w:t>16</w:t>
        </w:r>
      </w:hyperlink>
    </w:p>
    <w:p>
      <w:pPr>
        <w:pStyle w:val="Contents1"/>
        <w:tabs>
          <w:tab w:val="right" w:pos="8306" w:leader="dot"/>
        </w:tabs>
        <w:rPr/>
      </w:pPr>
      <w:hyperlink w:anchor="__RefHeading__1842_1299669005">
        <w:r>
          <w:rPr>
            <w:rStyle w:val="InternetLink"/>
          </w:rPr>
          <w:t>VOTING ON APPOINTMENTS</w:t>
          <w:tab/>
          <w:t>17</w:t>
        </w:r>
      </w:hyperlink>
    </w:p>
    <w:p>
      <w:pPr>
        <w:pStyle w:val="Contents1"/>
        <w:tabs>
          <w:tab w:val="right" w:pos="8306" w:leader="dot"/>
        </w:tabs>
        <w:rPr/>
      </w:pPr>
      <w:hyperlink w:anchor="__RefHeading__1844_1299669005">
        <w:r>
          <w:rPr>
            <w:rStyle w:val="InternetLink"/>
          </w:rPr>
          <w:t xml:space="preserve">MOTIONS FOR A MEETING THAT REQUIRE WRITTEN NOTICE TO BE GIVEN TO THE PROPER OFFICER </w:t>
          <w:tab/>
          <w:t>17</w:t>
        </w:r>
      </w:hyperlink>
    </w:p>
    <w:p>
      <w:pPr>
        <w:pStyle w:val="Contents1"/>
        <w:tabs>
          <w:tab w:val="right" w:pos="8306" w:leader="dot"/>
        </w:tabs>
        <w:rPr/>
      </w:pPr>
      <w:hyperlink w:anchor="__RefHeading__1846_1299669005">
        <w:r>
          <w:rPr>
            <w:rStyle w:val="InternetLink"/>
          </w:rPr>
          <w:t xml:space="preserve">MOTIONS AT A MEETING THAT DO NOT REQUIRE WRITTEN NOTICE </w:t>
          <w:tab/>
          <w:t>18</w:t>
        </w:r>
      </w:hyperlink>
    </w:p>
    <w:p>
      <w:pPr>
        <w:pStyle w:val="Contents1"/>
        <w:tabs>
          <w:tab w:val="right" w:pos="8306" w:leader="dot"/>
        </w:tabs>
        <w:rPr/>
      </w:pPr>
      <w:hyperlink w:anchor="__RefHeading__1848_1299669005">
        <w:r>
          <w:rPr>
            <w:rStyle w:val="InternetLink"/>
          </w:rPr>
          <w:t xml:space="preserve">MANAGEMENT OF INFORMATION </w:t>
          <w:tab/>
          <w:t>18</w:t>
        </w:r>
      </w:hyperlink>
    </w:p>
    <w:p>
      <w:pPr>
        <w:pStyle w:val="Contents1"/>
        <w:tabs>
          <w:tab w:val="right" w:pos="8306" w:leader="dot"/>
        </w:tabs>
        <w:rPr/>
      </w:pPr>
      <w:hyperlink w:anchor="__RefHeading__1850_1299669005">
        <w:r>
          <w:rPr>
            <w:rStyle w:val="InternetLink"/>
          </w:rPr>
          <w:t xml:space="preserve">DRAFT MINUTES </w:t>
          <w:tab/>
          <w:t>19</w:t>
        </w:r>
      </w:hyperlink>
    </w:p>
    <w:p>
      <w:pPr>
        <w:pStyle w:val="Contents1"/>
        <w:tabs>
          <w:tab w:val="right" w:pos="8306" w:leader="dot"/>
        </w:tabs>
        <w:rPr/>
      </w:pPr>
      <w:hyperlink w:anchor="__RefHeading__1852_1299669005">
        <w:r>
          <w:rPr>
            <w:rStyle w:val="InternetLink"/>
          </w:rPr>
          <w:t>CODE OF CONDUCT AND DISPENSATIONS</w:t>
          <w:tab/>
          <w:t>21</w:t>
        </w:r>
      </w:hyperlink>
    </w:p>
    <w:p>
      <w:pPr>
        <w:pStyle w:val="Contents1"/>
        <w:tabs>
          <w:tab w:val="right" w:pos="8306" w:leader="dot"/>
        </w:tabs>
        <w:rPr/>
      </w:pPr>
      <w:hyperlink w:anchor="__RefHeading__1854_1299669005">
        <w:r>
          <w:rPr>
            <w:rStyle w:val="InternetLink"/>
          </w:rPr>
          <w:t xml:space="preserve">CODE OF CONDUCT COMPLAINTS </w:t>
          <w:tab/>
          <w:t>21</w:t>
        </w:r>
      </w:hyperlink>
    </w:p>
    <w:p>
      <w:pPr>
        <w:pStyle w:val="Contents1"/>
        <w:tabs>
          <w:tab w:val="right" w:pos="8306" w:leader="dot"/>
        </w:tabs>
        <w:rPr/>
      </w:pPr>
      <w:hyperlink w:anchor="__RefHeading__1856_1299669005">
        <w:r>
          <w:rPr>
            <w:rStyle w:val="InternetLink"/>
          </w:rPr>
          <w:t xml:space="preserve">PROPER OFFICER </w:t>
          <w:tab/>
          <w:t>22</w:t>
        </w:r>
      </w:hyperlink>
    </w:p>
    <w:p>
      <w:pPr>
        <w:pStyle w:val="Contents1"/>
        <w:tabs>
          <w:tab w:val="right" w:pos="8306" w:leader="dot"/>
        </w:tabs>
        <w:rPr/>
      </w:pPr>
      <w:hyperlink w:anchor="__RefHeading__1858_1299669005">
        <w:r>
          <w:rPr>
            <w:rStyle w:val="InternetLink"/>
          </w:rPr>
          <w:t xml:space="preserve">RESPONSIBLE FINANCIAL OFFICER </w:t>
          <w:tab/>
          <w:t>24</w:t>
        </w:r>
      </w:hyperlink>
    </w:p>
    <w:p>
      <w:pPr>
        <w:pStyle w:val="Contents1"/>
        <w:tabs>
          <w:tab w:val="right" w:pos="8306" w:leader="dot"/>
        </w:tabs>
        <w:rPr/>
      </w:pPr>
      <w:hyperlink w:anchor="__RefHeading__1860_1299669005">
        <w:r>
          <w:rPr>
            <w:rStyle w:val="InternetLink"/>
          </w:rPr>
          <w:t>ACCOUNTS AND ACCOUNTING STATEMENTS</w:t>
          <w:tab/>
          <w:t>25</w:t>
        </w:r>
      </w:hyperlink>
    </w:p>
    <w:p>
      <w:pPr>
        <w:pStyle w:val="Contents1"/>
        <w:tabs>
          <w:tab w:val="right" w:pos="8306" w:leader="dot"/>
        </w:tabs>
        <w:rPr/>
      </w:pPr>
      <w:hyperlink w:anchor="__RefHeading__1862_1299669005">
        <w:r>
          <w:rPr>
            <w:rStyle w:val="InternetLink"/>
          </w:rPr>
          <w:t>FINANCIAL CONTROLS AND PROCUREMENT</w:t>
          <w:tab/>
          <w:t>26</w:t>
        </w:r>
      </w:hyperlink>
    </w:p>
    <w:p>
      <w:pPr>
        <w:pStyle w:val="Contents1"/>
        <w:tabs>
          <w:tab w:val="right" w:pos="8306" w:leader="dot"/>
        </w:tabs>
        <w:rPr/>
      </w:pPr>
      <w:hyperlink w:anchor="__RefHeading__1864_1299669005">
        <w:r>
          <w:rPr>
            <w:rStyle w:val="InternetLink"/>
          </w:rPr>
          <w:t>HANDLING STAFF MATTERS</w:t>
          <w:tab/>
          <w:t>28</w:t>
        </w:r>
      </w:hyperlink>
    </w:p>
    <w:p>
      <w:pPr>
        <w:pStyle w:val="Contents1"/>
        <w:tabs>
          <w:tab w:val="right" w:pos="8306" w:leader="dot"/>
        </w:tabs>
        <w:rPr/>
      </w:pPr>
      <w:hyperlink w:anchor="__RefHeading__1866_1299669005">
        <w:r>
          <w:rPr>
            <w:rStyle w:val="InternetLink"/>
          </w:rPr>
          <w:t xml:space="preserve">RESPONSIBILITIES TO PROVIDE INFORMATION </w:t>
          <w:tab/>
          <w:t>29</w:t>
        </w:r>
      </w:hyperlink>
    </w:p>
    <w:p>
      <w:pPr>
        <w:pStyle w:val="Contents1"/>
        <w:tabs>
          <w:tab w:val="right" w:pos="8306" w:leader="dot"/>
        </w:tabs>
        <w:rPr/>
      </w:pPr>
      <w:hyperlink w:anchor="__RefHeading__1868_1299669005">
        <w:r>
          <w:rPr>
            <w:rStyle w:val="InternetLink"/>
          </w:rPr>
          <w:t xml:space="preserve">RESPONSIBILITIES UNDER DATA PROTECTION LEGISLATION </w:t>
          <w:tab/>
          <w:t>29</w:t>
        </w:r>
      </w:hyperlink>
    </w:p>
    <w:p>
      <w:pPr>
        <w:pStyle w:val="Contents1"/>
        <w:tabs>
          <w:tab w:val="right" w:pos="8306" w:leader="dot"/>
        </w:tabs>
        <w:rPr/>
      </w:pPr>
      <w:hyperlink w:anchor="__RefHeading__1870_1299669005">
        <w:r>
          <w:rPr>
            <w:rStyle w:val="InternetLink"/>
          </w:rPr>
          <w:t>RELATIONS WITH THE PRESS/MEDIA</w:t>
          <w:tab/>
          <w:t>30</w:t>
        </w:r>
      </w:hyperlink>
    </w:p>
    <w:p>
      <w:pPr>
        <w:pStyle w:val="Contents1"/>
        <w:tabs>
          <w:tab w:val="right" w:pos="8306" w:leader="dot"/>
        </w:tabs>
        <w:rPr/>
      </w:pPr>
      <w:hyperlink w:anchor="__RefHeading__1872_1299669005">
        <w:r>
          <w:rPr>
            <w:rStyle w:val="InternetLink"/>
          </w:rPr>
          <w:t xml:space="preserve">EXECUTION AND SEALING OF LEGAL DEEDS </w:t>
          <w:tab/>
          <w:t>30</w:t>
        </w:r>
      </w:hyperlink>
    </w:p>
    <w:p>
      <w:pPr>
        <w:pStyle w:val="Contents1"/>
        <w:tabs>
          <w:tab w:val="right" w:pos="8306" w:leader="dot"/>
        </w:tabs>
        <w:rPr/>
      </w:pPr>
      <w:hyperlink w:anchor="__RefHeading__1874_1299669005">
        <w:r>
          <w:rPr>
            <w:rStyle w:val="InternetLink"/>
          </w:rPr>
          <w:t>COMMUNICATING WITH COUNTY BOROUGH OR COUNTY COUNCIL COUNCILLORS</w:t>
          <w:tab/>
          <w:t>30</w:t>
        </w:r>
      </w:hyperlink>
    </w:p>
    <w:p>
      <w:pPr>
        <w:pStyle w:val="Contents1"/>
        <w:tabs>
          <w:tab w:val="right" w:pos="8306" w:leader="dot"/>
        </w:tabs>
        <w:rPr/>
      </w:pPr>
      <w:hyperlink w:anchor="__RefHeading__1876_1299669005">
        <w:r>
          <w:rPr>
            <w:rStyle w:val="InternetLink"/>
          </w:rPr>
          <w:t>RESTRICTIONS ON COUNCILLOR ACTIVITIES</w:t>
          <w:tab/>
          <w:t>31</w:t>
        </w:r>
      </w:hyperlink>
    </w:p>
    <w:p>
      <w:pPr>
        <w:pStyle w:val="Contents1"/>
        <w:tabs>
          <w:tab w:val="right" w:pos="8306" w:leader="dot"/>
        </w:tabs>
        <w:rPr/>
      </w:pPr>
      <w:hyperlink w:anchor="__RefHeading__1878_1299669005">
        <w:r>
          <w:rPr>
            <w:rStyle w:val="InternetLink"/>
          </w:rPr>
          <w:t>STANDING ORDERS GENERALLY</w:t>
          <w:tab/>
          <w:t>31</w:t>
        </w:r>
      </w:hyperlink>
      <w:r>
        <w:fldChar w:fldCharType="end"/>
      </w:r>
    </w:p>
    <w:p>
      <w:pPr>
        <w:pStyle w:val="Normal"/>
        <w:tabs>
          <w:tab w:val="left" w:pos="440" w:leader="none"/>
          <w:tab w:val="right" w:pos="8222" w:leader="dot"/>
        </w:tabs>
        <w:spacing w:lineRule="auto" w:line="276" w:before="0" w:after="200"/>
        <w:ind w:left="567" w:right="368" w:hanging="567"/>
        <w:rPr/>
      </w:pPr>
      <w:hyperlink w:anchor="_Toc509572257">
        <w:r>
          <w:rPr>
            <w:webHidden/>
          </w:rPr>
          <w:fldChar w:fldCharType="begin"/>
        </w:r>
        <w:r>
          <w:rPr>
            <w:webHidden/>
          </w:rPr>
          <w:instrText>PAGEREF _Toc509572257 \h</w:instrText>
        </w:r>
        <w:r>
          <w:rPr>
            <w:webHidden/>
          </w:rPr>
          <w:fldChar w:fldCharType="separate"/>
        </w:r>
        <w:r>
          <w:rPr/>
        </w:r>
        <w:r>
          <w:rPr>
            <w:webHidden/>
          </w:rPr>
          <w:fldChar w:fldCharType="end"/>
        </w:r>
      </w:hyperlink>
    </w:p>
    <w:p>
      <w:pPr>
        <w:pStyle w:val="Normal"/>
        <w:spacing w:before="0" w:after="200"/>
        <w:rPr>
          <w:rFonts w:ascii="Arial" w:hAnsi="Arial" w:cs="Arial"/>
          <w:b/>
          <w:b/>
          <w:bCs/>
          <w:color w:val="000000"/>
          <w:sz w:val="22"/>
          <w:szCs w:val="22"/>
        </w:rPr>
      </w:pPr>
      <w:r>
        <w:rPr>
          <w:rFonts w:cs="Arial" w:ascii="Arial" w:hAnsi="Arial"/>
          <w:b/>
          <w:bCs/>
          <w:color w:val="000000"/>
          <w:sz w:val="22"/>
          <w:szCs w:val="22"/>
        </w:rPr>
      </w:r>
      <w:r>
        <w:br w:type="page"/>
      </w:r>
    </w:p>
    <w:p>
      <w:pPr>
        <w:pStyle w:val="Heading1"/>
        <w:numPr>
          <w:ilvl w:val="0"/>
          <w:numId w:val="0"/>
        </w:numPr>
        <w:spacing w:lineRule="auto" w:line="276" w:before="0" w:after="200"/>
        <w:rPr>
          <w:rFonts w:ascii="Arial" w:hAnsi="Arial" w:cs="Arial"/>
          <w:b/>
          <w:b/>
          <w:szCs w:val="22"/>
        </w:rPr>
      </w:pPr>
      <w:bookmarkStart w:id="9" w:name="_Toc359334781"/>
      <w:bookmarkStart w:id="10" w:name="__RefHeading__1826_1299669005"/>
      <w:bookmarkEnd w:id="10"/>
      <w:bookmarkEnd w:id="9"/>
      <w:r>
        <w:rPr>
          <w:rFonts w:cs="Arial" w:ascii="Arial" w:hAnsi="Arial"/>
          <w:b/>
          <w:szCs w:val="22"/>
        </w:rPr>
        <w:t>INTRODUCTION</w:t>
      </w:r>
    </w:p>
    <w:p>
      <w:pPr>
        <w:pStyle w:val="Normal"/>
        <w:rPr/>
      </w:pPr>
      <w:r>
        <w:rPr/>
      </w:r>
    </w:p>
    <w:p>
      <w:pPr>
        <w:pStyle w:val="Normal"/>
        <w:spacing w:lineRule="auto" w:line="276" w:before="0" w:after="200"/>
        <w:rPr/>
      </w:pPr>
      <w:r>
        <w:rPr>
          <w:rFonts w:cs="Arial" w:ascii="Arial" w:hAnsi="Arial"/>
          <w:color w:val="000000"/>
          <w:sz w:val="22"/>
          <w:szCs w:val="22"/>
        </w:rPr>
        <w:t xml:space="preserve">These model standing orders update the </w:t>
      </w:r>
      <w:r>
        <w:rPr>
          <w:rFonts w:cs="Arial" w:ascii="Arial" w:hAnsi="Arial"/>
          <w:color w:val="000000"/>
          <w:sz w:val="22"/>
          <w:szCs w:val="22"/>
          <w:lang w:bidi="en-US"/>
        </w:rPr>
        <w:t>National Association of Local Council’s</w:t>
      </w:r>
      <w:r>
        <w:rPr>
          <w:rFonts w:cs="Arial" w:ascii="Arial" w:hAnsi="Arial"/>
          <w:color w:val="000000"/>
          <w:sz w:val="22"/>
          <w:szCs w:val="22"/>
        </w:rPr>
        <w:t xml:space="preserve"> (NALC) model standing orders contained in “Local Councils Explained” by Meera Tharmarajah (© 2013 NALC). This publication contains new model standing orders which reference new legislation introduced after 2013 when the last model standing orders were published.</w:t>
      </w:r>
    </w:p>
    <w:p>
      <w:pPr>
        <w:pStyle w:val="Normal"/>
        <w:spacing w:lineRule="auto" w:line="276" w:before="0" w:after="200"/>
        <w:rPr>
          <w:rFonts w:ascii="Arial" w:hAnsi="Arial" w:cs="Arial"/>
          <w:b/>
          <w:b/>
          <w:sz w:val="22"/>
          <w:szCs w:val="22"/>
        </w:rPr>
      </w:pPr>
      <w:bookmarkStart w:id="11" w:name="Bookmark1"/>
      <w:bookmarkStart w:id="12" w:name="Bookmark1"/>
      <w:r>
        <w:rPr>
          <w:rFonts w:cs="Arial" w:ascii="Arial" w:hAnsi="Arial"/>
          <w:b/>
          <w:sz w:val="22"/>
          <w:szCs w:val="22"/>
        </w:rPr>
      </w:r>
    </w:p>
    <w:p>
      <w:pPr>
        <w:pStyle w:val="Normal"/>
        <w:spacing w:lineRule="auto" w:line="276" w:before="0" w:after="200"/>
        <w:rPr/>
      </w:pPr>
      <w:bookmarkStart w:id="13" w:name="Bookmark1"/>
      <w:r>
        <w:rPr>
          <w:rFonts w:cs="Arial" w:ascii="Arial" w:hAnsi="Arial"/>
          <w:b/>
          <w:sz w:val="22"/>
          <w:szCs w:val="22"/>
        </w:rPr>
        <w:t>HOW TO USE MODEL STANDING ORDERS</w:t>
      </w:r>
      <w:bookmarkEnd w:id="13"/>
      <w:r>
        <w:rPr>
          <w:rFonts w:cs="Arial" w:ascii="Arial" w:hAnsi="Arial"/>
          <w:b/>
          <w:sz w:val="22"/>
          <w:szCs w:val="22"/>
        </w:rPr>
        <w:t xml:space="preserve"> </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Local councils operate within a wide statutory framework. NALC’s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pPr>
        <w:pStyle w:val="Normal"/>
        <w:widowControl w:val="false"/>
        <w:suppressAutoHyphens w:val="true"/>
        <w:spacing w:lineRule="auto" w:line="276" w:before="0" w:after="200"/>
        <w:rPr/>
      </w:pPr>
      <w:r>
        <w:rPr>
          <w:rFonts w:cs="Arial" w:ascii="Arial" w:hAnsi="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Pr>
          <w:rFonts w:cs="Arial" w:ascii="Arial" w:hAnsi="Arial"/>
          <w:sz w:val="22"/>
          <w:szCs w:val="22"/>
        </w:rPr>
        <w:t xml:space="preserve"> </w:t>
      </w:r>
      <w:r>
        <w:rPr>
          <w:rFonts w:cs="Arial" w:ascii="Arial" w:hAnsi="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One Voice Wales (OVW).</w:t>
      </w:r>
    </w:p>
    <w:p>
      <w:pPr>
        <w:pStyle w:val="Normal"/>
        <w:widowControl w:val="false"/>
        <w:suppressAutoHyphens w:val="true"/>
        <w:spacing w:lineRule="auto" w:line="276" w:before="0" w:after="200"/>
        <w:rPr>
          <w:rFonts w:ascii="Arial" w:hAnsi="Arial" w:cs="Arial"/>
          <w:b/>
          <w:b/>
          <w:color w:val="000000"/>
          <w:sz w:val="22"/>
          <w:szCs w:val="22"/>
          <w:lang w:bidi="en-US"/>
        </w:rPr>
      </w:pPr>
      <w:r>
        <w:rPr>
          <w:rFonts w:cs="Arial" w:ascii="Arial" w:hAnsi="Arial"/>
          <w:b/>
          <w:color w:val="000000"/>
          <w:sz w:val="22"/>
          <w:szCs w:val="22"/>
          <w:lang w:bidi="en-US"/>
        </w:rPr>
      </w:r>
    </w:p>
    <w:p>
      <w:pPr>
        <w:pStyle w:val="Normal"/>
        <w:widowControl w:val="false"/>
        <w:suppressAutoHyphens w:val="true"/>
        <w:spacing w:lineRule="auto" w:line="276" w:before="0" w:after="200"/>
        <w:rPr>
          <w:rFonts w:ascii="Arial" w:hAnsi="Arial" w:cs="Arial"/>
          <w:b/>
          <w:b/>
          <w:color w:val="000000"/>
          <w:sz w:val="22"/>
          <w:szCs w:val="22"/>
          <w:lang w:bidi="en-US"/>
        </w:rPr>
      </w:pPr>
      <w:r>
        <w:rPr>
          <w:rFonts w:cs="Arial" w:ascii="Arial" w:hAnsi="Arial"/>
          <w:b/>
          <w:color w:val="000000"/>
          <w:sz w:val="22"/>
          <w:szCs w:val="22"/>
          <w:lang w:bidi="en-US"/>
        </w:rPr>
        <w:t>DRAFTING NOTES</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pPr>
        <w:pStyle w:val="Normal"/>
        <w:widowControl w:val="false"/>
        <w:suppressAutoHyphens w:val="true"/>
        <w:spacing w:lineRule="auto" w:line="276" w:before="0" w:after="200"/>
        <w:rPr/>
      </w:pPr>
      <w:r>
        <w:rPr>
          <w:rFonts w:cs="Arial" w:ascii="Arial" w:hAnsi="Arial"/>
          <w:color w:val="000000"/>
          <w:sz w:val="22"/>
          <w:szCs w:val="22"/>
          <w:lang w:bidi="en-US"/>
        </w:rPr>
        <w:t xml:space="preserve">For convenience, the word “councillor” is used in model standing orders and, unless the context suggests otherwise, includes a non-councillor with or without voting rights. A model standing order that includes brackets like this ‘(   )’ requires information to be inserted by a council. A model standing order that includes brackets like this ‘[   ]’ and the term ‘OR’ provides alternative options for a council to choose from when determining standing orders. </w:t>
      </w:r>
      <w:r>
        <w:br w:type="page"/>
      </w:r>
    </w:p>
    <w:p>
      <w:pPr>
        <w:pStyle w:val="Heading1"/>
        <w:numPr>
          <w:ilvl w:val="0"/>
          <w:numId w:val="1"/>
        </w:numPr>
        <w:spacing w:lineRule="auto" w:line="276" w:before="0" w:after="200"/>
        <w:rPr>
          <w:rFonts w:ascii="Arial" w:hAnsi="Arial" w:cs="Arial"/>
          <w:b/>
          <w:b/>
          <w:szCs w:val="22"/>
        </w:rPr>
      </w:pPr>
      <w:bookmarkStart w:id="14" w:name="Bookmark2"/>
      <w:bookmarkStart w:id="15" w:name="_Toc357072129"/>
      <w:bookmarkStart w:id="16" w:name="_Toc359318554"/>
      <w:bookmarkStart w:id="17" w:name="_Toc359334502"/>
      <w:bookmarkStart w:id="18" w:name="Bookmark3"/>
      <w:bookmarkStart w:id="19" w:name="_Toc359336483"/>
      <w:bookmarkStart w:id="20" w:name="__RefHeading__1828_1299669005"/>
      <w:bookmarkEnd w:id="20"/>
      <w:bookmarkEnd w:id="14"/>
      <w:bookmarkEnd w:id="15"/>
      <w:bookmarkEnd w:id="16"/>
      <w:bookmarkEnd w:id="17"/>
      <w:bookmarkEnd w:id="18"/>
      <w:bookmarkEnd w:id="19"/>
      <w:r>
        <w:rPr>
          <w:rFonts w:cs="Arial" w:ascii="Arial" w:hAnsi="Arial"/>
          <w:b/>
          <w:szCs w:val="22"/>
        </w:rPr>
        <w:t>RULES OF DEBATE AT MEETINGS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Motions on the agenda shall be considered in the order that they appear unless the order is changed at the discretion of the chairman of the meeting.</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 motion (including an amendment) shall not be progressed unless it has been moved and seconded. </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A motion on the agenda that is not moved by its proposer may be treated by the chairman of the meeting as withdrawn.</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If a motion (including an amendment) has been seconded, it may be withdrawn by the proposer only with the consent of the seconder and the meeting.</w:t>
      </w:r>
    </w:p>
    <w:p>
      <w:pPr>
        <w:pStyle w:val="Normal"/>
        <w:numPr>
          <w:ilvl w:val="0"/>
          <w:numId w:val="5"/>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An amendment is a proposal to remove or add words to a motion. It shall not negate the motion. </w:t>
      </w:r>
    </w:p>
    <w:p>
      <w:pPr>
        <w:pStyle w:val="Normal"/>
        <w:numPr>
          <w:ilvl w:val="0"/>
          <w:numId w:val="5"/>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If an amendment to the original motion is carried, the original motion (as amended) becomes the substantive motion upon which further amendment(s) may be moved.</w:t>
      </w:r>
    </w:p>
    <w:p>
      <w:pPr>
        <w:pStyle w:val="Normal"/>
        <w:numPr>
          <w:ilvl w:val="0"/>
          <w:numId w:val="5"/>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A councillor may move an amendment to his own motion if agreed by the meeting. If a motion has already been seconded, the amendment shall be with the consent of the seconder and the meeting.</w:t>
      </w:r>
    </w:p>
    <w:p>
      <w:pPr>
        <w:pStyle w:val="Normal"/>
        <w:numPr>
          <w:ilvl w:val="0"/>
          <w:numId w:val="5"/>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If there is more than one amendment to an original or substantive motion, the amendments shall be moved in the order directed by the chairman of the meeting.</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Subject to standing order 1(k), only one amendment shall be moved and debated at a time, the order of which shall be directed by the chairman of the meeting. </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One or more amendments may be discussed together if the chairman of the meeting considers this expedient but each amendment shall be voted upon separately.</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 councillor may not move more than one amendment to an original or substantive motion. </w:t>
      </w:r>
    </w:p>
    <w:p>
      <w:pPr>
        <w:pStyle w:val="Normal"/>
        <w:numPr>
          <w:ilvl w:val="0"/>
          <w:numId w:val="5"/>
        </w:numPr>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The mover of an amendment has no right of reply at the end of debate on it. </w:t>
      </w:r>
    </w:p>
    <w:p>
      <w:pPr>
        <w:pStyle w:val="Normal"/>
        <w:widowControl w:val="false"/>
        <w:numPr>
          <w:ilvl w:val="0"/>
          <w:numId w:val="5"/>
        </w:numPr>
        <w:suppressAutoHyphens w:val="true"/>
        <w:spacing w:lineRule="auto" w:line="276" w:before="0" w:after="200"/>
        <w:rPr/>
      </w:pPr>
      <w:r>
        <w:rPr>
          <w:rFonts w:cs="Arial" w:ascii="Arial" w:hAnsi="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Pr>
          <w:rFonts w:cs="Arial" w:ascii="Arial" w:hAnsi="Arial"/>
          <w:sz w:val="22"/>
          <w:szCs w:val="22"/>
        </w:rPr>
        <w:t xml:space="preserve"> </w:t>
      </w:r>
      <w:r>
        <w:rPr>
          <w:rFonts w:cs="Arial" w:ascii="Arial" w:hAnsi="Arial"/>
          <w:color w:val="000000"/>
          <w:sz w:val="22"/>
          <w:szCs w:val="22"/>
          <w:lang w:bidi="en-US"/>
        </w:rPr>
        <w:t>on the final substantive motion immediately before it is put to the vote.</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Unless permitted by the chairman of the meeting, a councillor may speak once in the debate on a motion except:</w:t>
      </w:r>
    </w:p>
    <w:p>
      <w:pPr>
        <w:pStyle w:val="ListParagraph"/>
        <w:widowControl w:val="false"/>
        <w:numPr>
          <w:ilvl w:val="0"/>
          <w:numId w:val="31"/>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to speak on an amendment moved by another councillor; </w:t>
      </w:r>
    </w:p>
    <w:p>
      <w:pPr>
        <w:pStyle w:val="ListParagraph"/>
        <w:widowControl w:val="false"/>
        <w:numPr>
          <w:ilvl w:val="0"/>
          <w:numId w:val="31"/>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to move or speak on another amendment if the motion has been amended since he last spoke; </w:t>
      </w:r>
    </w:p>
    <w:p>
      <w:pPr>
        <w:pStyle w:val="ListParagraph"/>
        <w:widowControl w:val="false"/>
        <w:numPr>
          <w:ilvl w:val="0"/>
          <w:numId w:val="31"/>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to make a point of order; </w:t>
      </w:r>
    </w:p>
    <w:p>
      <w:pPr>
        <w:pStyle w:val="ListParagraph"/>
        <w:widowControl w:val="false"/>
        <w:numPr>
          <w:ilvl w:val="0"/>
          <w:numId w:val="31"/>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to give a personal explanation; or </w:t>
      </w:r>
    </w:p>
    <w:p>
      <w:pPr>
        <w:pStyle w:val="ListParagraph"/>
        <w:widowControl w:val="false"/>
        <w:numPr>
          <w:ilvl w:val="0"/>
          <w:numId w:val="31"/>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to exercise a right of reply.</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A point of order shall be decided by the chairman of the meeting and his decision shall be final. </w:t>
      </w:r>
    </w:p>
    <w:p>
      <w:pPr>
        <w:pStyle w:val="Normal"/>
        <w:widowControl w:val="false"/>
        <w:numPr>
          <w:ilvl w:val="0"/>
          <w:numId w:val="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When a motion is under debate, no other motion shall be moved except: </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amend the motion;</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proceed to the next business;</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adjourn the debate;</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put the motion to a vote;</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ask a person to be no longer heard or to leave the meeting;</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refer a motion to a committee or sub-committee for consideration; </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exclude the public and press;</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adjourn the meeting; or</w:t>
      </w:r>
    </w:p>
    <w:p>
      <w:pPr>
        <w:pStyle w:val="Normal"/>
        <w:widowControl w:val="false"/>
        <w:numPr>
          <w:ilvl w:val="0"/>
          <w:numId w:val="6"/>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suspend particular standing order(s) excepting those which reflect mandatory statutory or legal requirements.</w:t>
      </w:r>
    </w:p>
    <w:p>
      <w:pPr>
        <w:pStyle w:val="Normal"/>
        <w:widowControl w:val="false"/>
        <w:numPr>
          <w:ilvl w:val="0"/>
          <w:numId w:val="32"/>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pPr>
        <w:pStyle w:val="Normal"/>
        <w:widowControl w:val="false"/>
        <w:numPr>
          <w:ilvl w:val="0"/>
          <w:numId w:val="32"/>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Excluding motions moved under standing order 1(r), the contributions or speeches by a councillor shall relate only to the motion under discussion and shall not exceed (   ) minutes without the consent of the chairman of the meeting.</w:t>
      </w:r>
    </w:p>
    <w:p>
      <w:pPr>
        <w:pStyle w:val="Heading1"/>
        <w:numPr>
          <w:ilvl w:val="0"/>
          <w:numId w:val="1"/>
        </w:numPr>
        <w:spacing w:lineRule="auto" w:line="276" w:before="0" w:after="200"/>
        <w:rPr>
          <w:rFonts w:ascii="Arial" w:hAnsi="Arial" w:cs="Arial"/>
          <w:b/>
          <w:b/>
          <w:szCs w:val="22"/>
        </w:rPr>
      </w:pPr>
      <w:bookmarkStart w:id="21" w:name="Bookmark4"/>
      <w:bookmarkStart w:id="22" w:name="_Toc357072130"/>
      <w:bookmarkStart w:id="23" w:name="_Toc359318555"/>
      <w:bookmarkStart w:id="24" w:name="_Toc359334503"/>
      <w:bookmarkStart w:id="25" w:name="_Toc359334782"/>
      <w:bookmarkStart w:id="26" w:name="_Toc359336484"/>
      <w:bookmarkStart w:id="27" w:name="__RefHeading__1830_1299669005"/>
      <w:bookmarkEnd w:id="27"/>
      <w:bookmarkEnd w:id="21"/>
      <w:bookmarkEnd w:id="22"/>
      <w:bookmarkEnd w:id="23"/>
      <w:bookmarkEnd w:id="24"/>
      <w:bookmarkEnd w:id="25"/>
      <w:bookmarkEnd w:id="26"/>
      <w:r>
        <w:rPr>
          <w:rFonts w:cs="Arial" w:ascii="Arial" w:hAnsi="Arial"/>
          <w:b/>
          <w:szCs w:val="22"/>
        </w:rPr>
        <w:t>DISORDERLY CONDUCT AT MEETINGS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8"/>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pPr>
        <w:pStyle w:val="Normal"/>
        <w:widowControl w:val="false"/>
        <w:numPr>
          <w:ilvl w:val="0"/>
          <w:numId w:val="8"/>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pPr>
        <w:pStyle w:val="Normal"/>
        <w:widowControl w:val="false"/>
        <w:numPr>
          <w:ilvl w:val="0"/>
          <w:numId w:val="8"/>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pPr>
        <w:pStyle w:val="Normal"/>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rFonts w:ascii="Arial" w:hAnsi="Arial" w:cs="Arial"/>
          <w:b/>
          <w:b/>
          <w:szCs w:val="22"/>
        </w:rPr>
      </w:pPr>
      <w:bookmarkStart w:id="28" w:name="Bookmark5"/>
      <w:bookmarkStart w:id="29" w:name="_Toc357072131"/>
      <w:bookmarkStart w:id="30" w:name="_Toc359318556"/>
      <w:bookmarkStart w:id="31" w:name="_Toc359334504"/>
      <w:bookmarkStart w:id="32" w:name="_Toc359334783"/>
      <w:bookmarkStart w:id="33" w:name="_Toc359336485"/>
      <w:bookmarkStart w:id="34" w:name="__RefHeading__1832_1299669005"/>
      <w:bookmarkEnd w:id="34"/>
      <w:bookmarkEnd w:id="28"/>
      <w:bookmarkEnd w:id="29"/>
      <w:bookmarkEnd w:id="30"/>
      <w:bookmarkEnd w:id="31"/>
      <w:bookmarkEnd w:id="32"/>
      <w:bookmarkEnd w:id="33"/>
      <w:r>
        <w:rPr>
          <w:rFonts w:cs="Arial" w:ascii="Arial" w:hAnsi="Arial"/>
          <w:b/>
          <w:szCs w:val="22"/>
        </w:rPr>
        <w:t>MEETINGS GENERALLY</w:t>
      </w:r>
    </w:p>
    <w:p>
      <w:pPr>
        <w:pStyle w:val="Normal"/>
        <w:spacing w:before="0" w:after="200"/>
        <w:rPr/>
      </w:pPr>
      <w:r>
        <w:rPr/>
      </w:r>
    </w:p>
    <w:p>
      <w:pPr>
        <w:pStyle w:val="Normal"/>
        <w:widowControl w:val="false"/>
        <w:tabs>
          <w:tab w:val="left" w:pos="3686" w:leader="none"/>
        </w:tabs>
        <w:suppressAutoHyphens w:val="true"/>
        <w:spacing w:lineRule="auto" w:line="276" w:before="0" w:after="200"/>
        <w:ind w:left="567" w:right="0" w:hanging="0"/>
        <w:rPr/>
      </w:pPr>
      <w:r>
        <w:rPr>
          <w:rFonts w:cs="Arial" w:ascii="Arial" w:hAnsi="Arial"/>
          <w:color w:val="000000"/>
          <w:sz w:val="22"/>
          <w:szCs w:val="22"/>
          <w:lang w:bidi="en-US"/>
        </w:rPr>
        <w:t>Full Council meetings</w:t>
      </w:r>
      <w:r>
        <w:rPr>
          <w:rFonts w:cs="Arial" w:ascii="Arial" w:hAnsi="Arial"/>
          <w:color w:val="DE000E"/>
          <w:sz w:val="22"/>
          <w:szCs w:val="22"/>
          <w:lang w:bidi="en-US"/>
        </w:rPr>
        <w:tab/>
        <w:t>●</w:t>
      </w:r>
    </w:p>
    <w:p>
      <w:pPr>
        <w:pStyle w:val="Normal"/>
        <w:widowControl w:val="false"/>
        <w:tabs>
          <w:tab w:val="left" w:pos="3686" w:leader="none"/>
        </w:tabs>
        <w:suppressAutoHyphens w:val="true"/>
        <w:spacing w:lineRule="auto" w:line="276" w:before="0" w:after="200"/>
        <w:ind w:left="567" w:right="0" w:hanging="0"/>
        <w:rPr/>
      </w:pPr>
      <w:r>
        <w:rPr>
          <w:rFonts w:cs="Arial" w:ascii="Arial" w:hAnsi="Arial"/>
          <w:color w:val="000000"/>
          <w:sz w:val="22"/>
          <w:szCs w:val="22"/>
          <w:lang w:bidi="en-US"/>
        </w:rPr>
        <w:t>Committee meetings</w:t>
      </w:r>
      <w:r>
        <w:rPr>
          <w:rFonts w:cs="Arial" w:ascii="Arial" w:hAnsi="Arial"/>
          <w:color w:val="FF8000"/>
          <w:sz w:val="22"/>
          <w:szCs w:val="22"/>
          <w:lang w:bidi="en-US"/>
        </w:rPr>
        <w:tab/>
        <w:t>●</w:t>
      </w:r>
    </w:p>
    <w:p>
      <w:pPr>
        <w:pStyle w:val="Normal"/>
        <w:widowControl w:val="false"/>
        <w:tabs>
          <w:tab w:val="left" w:pos="3686" w:leader="none"/>
        </w:tabs>
        <w:suppressAutoHyphens w:val="true"/>
        <w:spacing w:lineRule="auto" w:line="276" w:before="0" w:after="200"/>
        <w:ind w:left="567" w:right="0" w:hanging="0"/>
        <w:rPr/>
      </w:pPr>
      <w:r>
        <w:rPr>
          <w:rFonts w:cs="Arial" w:ascii="Arial" w:hAnsi="Arial"/>
          <w:color w:val="000000"/>
          <w:sz w:val="22"/>
          <w:szCs w:val="22"/>
          <w:lang w:bidi="en-US"/>
        </w:rPr>
        <w:t xml:space="preserve">Sub-committee meetings </w:t>
      </w:r>
      <w:r>
        <w:rPr>
          <w:rFonts w:cs="Arial" w:ascii="Arial" w:hAnsi="Arial"/>
          <w:color w:val="99CC00"/>
          <w:sz w:val="22"/>
          <w:szCs w:val="22"/>
          <w:lang w:bidi="en-US"/>
        </w:rPr>
        <w:tab/>
        <w:t>●</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tbl>
      <w:tblPr>
        <w:tblW w:w="8981" w:type="dxa"/>
        <w:jc w:val="left"/>
        <w:tblInd w:w="-459" w:type="dxa"/>
        <w:tblBorders/>
        <w:tblCellMar>
          <w:top w:w="0" w:type="dxa"/>
          <w:left w:w="108" w:type="dxa"/>
          <w:bottom w:w="0" w:type="dxa"/>
          <w:right w:w="108" w:type="dxa"/>
        </w:tblCellMar>
      </w:tblPr>
      <w:tblGrid>
        <w:gridCol w:w="424"/>
        <w:gridCol w:w="8557"/>
      </w:tblGrid>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tc>
        <w:tc>
          <w:tcPr>
            <w:tcW w:w="8557" w:type="dxa"/>
            <w:tcBorders/>
            <w:shd w:fill="FFFFFF" w:val="clear"/>
          </w:tcPr>
          <w:p>
            <w:pPr>
              <w:pStyle w:val="Normal"/>
              <w:widowControl w:val="false"/>
              <w:numPr>
                <w:ilvl w:val="0"/>
                <w:numId w:val="34"/>
              </w:numPr>
              <w:suppressAutoHyphens w:val="true"/>
              <w:spacing w:lineRule="auto" w:line="276" w:before="0" w:after="200"/>
              <w:rPr/>
            </w:pPr>
            <w:r>
              <w:rPr>
                <w:rFonts w:cs="Arial" w:ascii="Arial" w:hAnsi="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Pr>
                <w:rFonts w:cs="Arial" w:ascii="Arial" w:hAnsi="Arial"/>
                <w:color w:val="000000"/>
                <w:sz w:val="22"/>
                <w:szCs w:val="22"/>
                <w:lang w:bidi="en-US"/>
              </w:rPr>
              <w:t xml:space="preserve">OR [The minimum three clear days’ public notice of a meeting does not include the day on which the notice was issued or the day of the meeting]. </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tc>
        <w:tc>
          <w:tcPr>
            <w:tcW w:w="8557" w:type="dxa"/>
            <w:tcBorders/>
            <w:shd w:fill="FFFFFF" w:val="clear"/>
          </w:tcPr>
          <w:p>
            <w:pPr>
              <w:pStyle w:val="Normal"/>
              <w:widowControl w:val="false"/>
              <w:numPr>
                <w:ilvl w:val="0"/>
                <w:numId w:val="34"/>
              </w:numPr>
              <w:suppressAutoHyphens w:val="true"/>
              <w:spacing w:lineRule="auto" w:line="276" w:before="0" w:after="200"/>
              <w:rPr/>
            </w:pPr>
            <w:r>
              <w:rPr>
                <w:rFonts w:cs="Arial" w:ascii="Arial" w:hAnsi="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bl>
    <w:p>
      <w:pPr>
        <w:pStyle w:val="Normal"/>
        <w:spacing w:before="0" w:after="200"/>
        <w:rPr/>
      </w:pPr>
      <w:r>
        <w:rPr/>
      </w:r>
      <w:r>
        <w:br w:type="page"/>
      </w:r>
    </w:p>
    <w:tbl>
      <w:tblPr>
        <w:tblW w:w="8981" w:type="dxa"/>
        <w:jc w:val="left"/>
        <w:tblInd w:w="-459" w:type="dxa"/>
        <w:tblBorders/>
        <w:tblCellMar>
          <w:top w:w="0" w:type="dxa"/>
          <w:left w:w="108" w:type="dxa"/>
          <w:bottom w:w="0" w:type="dxa"/>
          <w:right w:w="108" w:type="dxa"/>
        </w:tblCellMar>
      </w:tblPr>
      <w:tblGrid>
        <w:gridCol w:w="424"/>
        <w:gridCol w:w="8557"/>
      </w:tblGrid>
      <w:tr>
        <w:trPr/>
        <w:tc>
          <w:tcPr>
            <w:tcW w:w="424" w:type="dxa"/>
            <w:tcBorders/>
            <w:shd w:fill="FFFFFF" w:val="clear"/>
          </w:tcPr>
          <w:p>
            <w:pPr>
              <w:pStyle w:val="Normal"/>
              <w:pageBreakBefore/>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Members of the public may make representations, answer questions and give evidence at a meeting which they are entitled to attend in respect of the business on the agenda.</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The period of time designated for public participation at a meeting in accordance with standing order 3(e) shall not exceed (   ) minutes unless directed by the chairman of the meeting.</w:t>
            </w:r>
          </w:p>
        </w:tc>
      </w:tr>
      <w:tr>
        <w:trPr>
          <w:trHeight w:val="683" w:hRule="atLeast"/>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Subject to standing order 3(f), a member of the public shall not speak for more than (   ) minutes.</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A person who speaks at a meeting shall direct his comments to the chairman of the meeting.</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Only one person is permitted to speak at a time. If more than one person wants to speak, the chairman of the meeting shall direct the order of speaking.  </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Normal"/>
              <w:widowControl w:val="false"/>
              <w:numPr>
                <w:ilvl w:val="0"/>
                <w:numId w:val="34"/>
              </w:numPr>
              <w:suppressAutoHyphens w:val="true"/>
              <w:spacing w:lineRule="auto" w:line="288" w:before="0" w:after="200"/>
              <w:rPr/>
            </w:pPr>
            <w:r>
              <w:rPr>
                <w:rFonts w:cs="Arial" w:ascii="Arial" w:hAnsi="Arial"/>
                <w:b/>
                <w:bCs/>
                <w:color w:val="000000"/>
                <w:sz w:val="22"/>
                <w:szCs w:val="22"/>
                <w:lang w:bidi="en-US"/>
              </w:rPr>
              <w:t>Photographing, recording, broadcasting or transmitting the proceedings of a meeting by any means is not permitted without the Council’s</w:t>
            </w:r>
            <w:r>
              <w:rPr>
                <w:rFonts w:cs="Arial" w:ascii="Arial" w:hAnsi="Arial"/>
                <w:color w:val="000000"/>
                <w:sz w:val="22"/>
                <w:szCs w:val="22"/>
                <w:lang w:bidi="en-US"/>
              </w:rPr>
              <w:t xml:space="preserve"> prior written</w:t>
            </w:r>
            <w:r>
              <w:rPr>
                <w:rFonts w:cs="Arial" w:ascii="Arial" w:hAnsi="Arial"/>
                <w:b/>
                <w:bCs/>
                <w:color w:val="000000"/>
                <w:sz w:val="22"/>
                <w:szCs w:val="22"/>
                <w:lang w:bidi="en-US"/>
              </w:rPr>
              <w:t xml:space="preserve"> consent</w:t>
            </w:r>
            <w:r>
              <w:rPr>
                <w:rFonts w:cs="Arial" w:ascii="Arial" w:hAnsi="Arial"/>
                <w:color w:val="000000"/>
                <w:sz w:val="22"/>
                <w:szCs w:val="22"/>
                <w:lang w:bidi="en-US"/>
              </w:rPr>
              <w:t>.</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The press shall be provided with reasonable facilities for the taking of their report of all or part of a meeting at which they are entitled to be present</w:t>
            </w:r>
            <w:r>
              <w:rPr>
                <w:rFonts w:cs="Arial" w:ascii="Arial" w:hAnsi="Arial"/>
                <w:b/>
                <w:color w:val="000000"/>
                <w:sz w:val="22"/>
                <w:szCs w:val="22"/>
                <w:lang w:bidi="en-US"/>
              </w:rPr>
              <w:t>.</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rPr>
                <w:rFonts w:ascii="Arial" w:hAnsi="Arial" w:cs="Arial"/>
                <w:color w:val="99CC00"/>
                <w:sz w:val="22"/>
                <w:szCs w:val="22"/>
                <w:lang w:bidi="en-US"/>
              </w:rPr>
            </w:pPr>
            <w:r>
              <w:rPr>
                <w:rFonts w:cs="Arial" w:ascii="Arial" w:hAnsi="Arial"/>
                <w:color w:val="99CC00"/>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Subject to a meeting being quorate, all questions at a meeting shall be decided by a majority of the councillors and non-councillors with voting rights present and voting.</w:t>
              <w:tab/>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rPr>
                <w:rFonts w:ascii="Arial" w:hAnsi="Arial" w:cs="Arial"/>
                <w:color w:val="99CC00"/>
                <w:sz w:val="22"/>
                <w:szCs w:val="22"/>
                <w:lang w:bidi="en-US"/>
              </w:rPr>
            </w:pPr>
            <w:r>
              <w:rPr>
                <w:rFonts w:cs="Arial" w:ascii="Arial" w:hAnsi="Arial"/>
                <w:color w:val="99CC00"/>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 xml:space="preserve">The </w:t>
            </w:r>
            <w:r>
              <w:rPr>
                <w:rFonts w:cs="Arial" w:ascii="Arial" w:hAnsi="Arial"/>
                <w:b/>
                <w:color w:val="000000"/>
                <w:sz w:val="22"/>
                <w:szCs w:val="22"/>
                <w:lang w:bidi="en-US"/>
              </w:rPr>
              <w:t xml:space="preserve">chairman </w:t>
            </w:r>
            <w:r>
              <w:rPr>
                <w:rFonts w:cs="Arial" w:ascii="Arial" w:hAnsi="Arial"/>
                <w:b/>
                <w:bCs/>
                <w:color w:val="000000"/>
                <w:sz w:val="22"/>
                <w:szCs w:val="22"/>
                <w:lang w:bidi="en-US"/>
              </w:rPr>
              <w:t>of a meeting may give an original vote on any matter put to the vote, and in the case of an equality of votes may exercise his casting vote whether or not he gave an original vote.</w:t>
            </w:r>
          </w:p>
          <w:p>
            <w:pPr>
              <w:pStyle w:val="Normal"/>
              <w:widowControl w:val="false"/>
              <w:suppressAutoHyphens w:val="true"/>
              <w:spacing w:lineRule="auto" w:line="276" w:before="0" w:after="200"/>
              <w:ind w:left="567" w:right="0" w:hanging="0"/>
              <w:rPr>
                <w:rFonts w:ascii="Arial" w:hAnsi="Arial" w:cs="Arial"/>
                <w:i/>
                <w:i/>
                <w:iCs/>
                <w:color w:val="000000"/>
                <w:sz w:val="22"/>
                <w:szCs w:val="22"/>
                <w:lang w:bidi="en-US"/>
              </w:rPr>
            </w:pPr>
            <w:r>
              <w:rPr>
                <w:rFonts w:cs="Arial" w:ascii="Arial" w:hAnsi="Arial"/>
                <w:i/>
                <w:iCs/>
                <w:color w:val="000000"/>
                <w:sz w:val="22"/>
                <w:szCs w:val="22"/>
                <w:lang w:bidi="en-US"/>
              </w:rPr>
              <w:t>See standing orders 5(h) and (i) for the different rules that apply in the election of the Chairman of the Council at the annual meeting of the Council.</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Pr>
                <w:rFonts w:cs="Arial" w:ascii="Arial" w:hAnsi="Arial"/>
                <w:color w:val="000000"/>
                <w:sz w:val="22"/>
                <w:szCs w:val="22"/>
                <w:lang w:bidi="en-US"/>
              </w:rPr>
              <w:t>Such a request shall be made before moving on to the next item of business on the agenda.</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ListParagraph"/>
              <w:widowControl w:val="false"/>
              <w:numPr>
                <w:ilvl w:val="0"/>
                <w:numId w:val="34"/>
              </w:numPr>
              <w:suppressAutoHyphens w:val="true"/>
              <w:spacing w:lineRule="auto" w:line="276" w:before="0" w:after="200"/>
              <w:rPr>
                <w:rFonts w:ascii="Arial" w:hAnsi="Arial" w:cs="Arial"/>
                <w:bCs/>
                <w:color w:val="000000"/>
                <w:sz w:val="22"/>
                <w:szCs w:val="22"/>
                <w:lang w:bidi="en-US"/>
              </w:rPr>
            </w:pPr>
            <w:r>
              <w:rPr>
                <w:rFonts w:cs="Arial" w:ascii="Arial" w:hAnsi="Arial"/>
                <w:bCs/>
                <w:color w:val="000000"/>
                <w:sz w:val="22"/>
                <w:szCs w:val="22"/>
                <w:lang w:bidi="en-US"/>
              </w:rPr>
              <w:t>The minutes of a meeting shall include an accurate record of the following:</w:t>
            </w:r>
          </w:p>
          <w:p>
            <w:pPr>
              <w:pStyle w:val="Normal"/>
              <w:widowControl w:val="false"/>
              <w:numPr>
                <w:ilvl w:val="0"/>
                <w:numId w:val="35"/>
              </w:numPr>
              <w:suppressAutoHyphens w:val="true"/>
              <w:spacing w:lineRule="auto" w:line="276" w:before="0" w:after="200"/>
              <w:rPr>
                <w:rFonts w:ascii="Arial" w:hAnsi="Arial" w:cs="Arial"/>
                <w:bCs/>
                <w:color w:val="000000"/>
                <w:sz w:val="22"/>
                <w:szCs w:val="22"/>
                <w:lang w:bidi="en-US"/>
              </w:rPr>
            </w:pPr>
            <w:r>
              <w:rPr>
                <w:rFonts w:cs="Arial" w:ascii="Arial" w:hAnsi="Arial"/>
                <w:bCs/>
                <w:color w:val="000000"/>
                <w:sz w:val="22"/>
                <w:szCs w:val="22"/>
                <w:lang w:bidi="en-US"/>
              </w:rPr>
              <w:t xml:space="preserve">the time and place of the meeting; </w:t>
            </w:r>
          </w:p>
          <w:p>
            <w:pPr>
              <w:pStyle w:val="Normal"/>
              <w:widowControl w:val="false"/>
              <w:numPr>
                <w:ilvl w:val="0"/>
                <w:numId w:val="35"/>
              </w:numPr>
              <w:suppressAutoHyphens w:val="true"/>
              <w:spacing w:lineRule="auto" w:line="276" w:before="0" w:after="200"/>
              <w:rPr/>
            </w:pPr>
            <w:r>
              <w:rPr>
                <w:rFonts w:cs="Arial" w:ascii="Arial" w:hAnsi="Arial"/>
                <w:bCs/>
                <w:color w:val="000000"/>
                <w:sz w:val="22"/>
                <w:szCs w:val="22"/>
                <w:lang w:bidi="en-US"/>
              </w:rPr>
              <w:t xml:space="preserve">the names of councillors who are present </w:t>
            </w:r>
            <w:r>
              <w:rPr>
                <w:rFonts w:cs="Arial" w:ascii="Arial" w:hAnsi="Arial"/>
                <w:color w:val="000000"/>
                <w:sz w:val="22"/>
                <w:szCs w:val="22"/>
                <w:lang w:bidi="en-US"/>
              </w:rPr>
              <w:t xml:space="preserve">and the names of councillors who are absent; </w:t>
            </w:r>
          </w:p>
          <w:p>
            <w:pPr>
              <w:pStyle w:val="Normal"/>
              <w:widowControl w:val="false"/>
              <w:numPr>
                <w:ilvl w:val="0"/>
                <w:numId w:val="3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interests that have been declared by councillors and non-councillors with voting rights;</w:t>
            </w:r>
          </w:p>
          <w:p>
            <w:pPr>
              <w:pStyle w:val="Normal"/>
              <w:widowControl w:val="false"/>
              <w:numPr>
                <w:ilvl w:val="0"/>
                <w:numId w:val="3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the grant of dispensations (if any) to councillors and non-councillors with voting rights;</w:t>
            </w:r>
          </w:p>
          <w:p>
            <w:pPr>
              <w:pStyle w:val="Normal"/>
              <w:widowControl w:val="false"/>
              <w:numPr>
                <w:ilvl w:val="0"/>
                <w:numId w:val="3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whether a councillor or non-councillor with voting rights left the meeting when matters that they held interests in were being considered;</w:t>
            </w:r>
          </w:p>
          <w:p>
            <w:pPr>
              <w:pStyle w:val="Normal"/>
              <w:widowControl w:val="false"/>
              <w:numPr>
                <w:ilvl w:val="0"/>
                <w:numId w:val="3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 xml:space="preserve">if there was a public participation session; and </w:t>
            </w:r>
          </w:p>
          <w:p>
            <w:pPr>
              <w:pStyle w:val="Normal"/>
              <w:widowControl w:val="false"/>
              <w:numPr>
                <w:ilvl w:val="0"/>
                <w:numId w:val="3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the resolutions made.</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rPr>
                <w:rFonts w:ascii="Arial" w:hAnsi="Arial" w:cs="Arial"/>
                <w:color w:val="99CC00"/>
                <w:sz w:val="22"/>
                <w:szCs w:val="22"/>
                <w:lang w:bidi="en-US"/>
              </w:rPr>
            </w:pPr>
            <w:r>
              <w:rPr>
                <w:rFonts w:cs="Arial" w:ascii="Arial" w:hAnsi="Arial"/>
                <w:color w:val="99CC00"/>
                <w:sz w:val="22"/>
                <w:szCs w:val="22"/>
                <w:lang w:bidi="en-US"/>
              </w:rPr>
              <w:t>●</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A councillor or a non-councillor with voting rights who has a personal or prejudicial interest in a matter being considered at a meeting which limits or restricts his right to participate in a discussion or vote on that matter is subject to obligations in the code of conduct adopted by the Council</w:t>
            </w:r>
            <w:r>
              <w:rPr>
                <w:rFonts w:cs="Arial" w:ascii="Arial" w:hAnsi="Arial"/>
                <w:bCs/>
                <w:color w:val="000000"/>
                <w:sz w:val="22"/>
                <w:szCs w:val="22"/>
                <w:lang w:bidi="en-US"/>
              </w:rPr>
              <w:t>.</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ListParagraph"/>
              <w:widowControl w:val="false"/>
              <w:numPr>
                <w:ilvl w:val="0"/>
                <w:numId w:val="34"/>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pPr>
              <w:pStyle w:val="Normal"/>
              <w:widowControl w:val="false"/>
              <w:suppressAutoHyphens w:val="true"/>
              <w:spacing w:lineRule="auto" w:line="276" w:before="0" w:after="200"/>
              <w:ind w:left="567" w:right="0" w:hanging="0"/>
              <w:rPr>
                <w:rFonts w:ascii="Arial" w:hAnsi="Arial" w:cs="Arial"/>
                <w:i/>
                <w:i/>
                <w:color w:val="000000"/>
                <w:sz w:val="22"/>
                <w:szCs w:val="22"/>
                <w:lang w:bidi="en-US"/>
              </w:rPr>
            </w:pPr>
            <w:r>
              <w:rPr>
                <w:rFonts w:cs="Arial" w:ascii="Arial" w:hAnsi="Arial"/>
                <w:i/>
                <w:color w:val="000000"/>
                <w:sz w:val="22"/>
                <w:szCs w:val="22"/>
                <w:lang w:bidi="en-US"/>
              </w:rPr>
              <w:t xml:space="preserve">See standing order 4(d)(viii) for the quorum of a committee or sub-committee meeting. </w:t>
            </w:r>
          </w:p>
        </w:tc>
      </w:tr>
      <w:tr>
        <w:trPr/>
        <w:tc>
          <w:tcPr>
            <w:tcW w:w="424" w:type="dxa"/>
            <w:tcBorders/>
            <w:shd w:fill="FFFFFF" w:val="clear"/>
          </w:tcPr>
          <w:p>
            <w:pPr>
              <w:pStyle w:val="Normal"/>
              <w:widowControl w:val="false"/>
              <w:suppressAutoHyphens w:val="true"/>
              <w:spacing w:lineRule="auto" w:line="276" w:before="0" w:after="200"/>
              <w:rPr>
                <w:rFonts w:ascii="Arial" w:hAnsi="Arial" w:cs="Arial"/>
                <w:color w:val="DE000E"/>
                <w:sz w:val="22"/>
                <w:szCs w:val="22"/>
                <w:lang w:bidi="en-US"/>
              </w:rPr>
            </w:pPr>
            <w:r>
              <w:rPr>
                <w:rFonts w:cs="Arial" w:ascii="Arial" w:hAnsi="Arial"/>
                <w:color w:val="DE000E"/>
                <w:sz w:val="22"/>
                <w:szCs w:val="22"/>
                <w:lang w:bidi="en-US"/>
              </w:rPr>
              <w:t>●</w:t>
            </w:r>
          </w:p>
          <w:p>
            <w:pPr>
              <w:pStyle w:val="Normal"/>
              <w:widowControl w:val="false"/>
              <w:suppressAutoHyphens w:val="true"/>
              <w:spacing w:lineRule="auto" w:line="276" w:before="0" w:after="200"/>
              <w:rPr>
                <w:rFonts w:ascii="Arial" w:hAnsi="Arial" w:cs="Arial"/>
                <w:color w:val="FF8000"/>
                <w:sz w:val="22"/>
                <w:szCs w:val="22"/>
                <w:lang w:bidi="en-US"/>
              </w:rPr>
            </w:pPr>
            <w:r>
              <w:rPr>
                <w:rFonts w:cs="Arial" w:ascii="Arial" w:hAnsi="Arial"/>
                <w:color w:val="FF8000"/>
                <w:sz w:val="22"/>
                <w:szCs w:val="22"/>
                <w:lang w:bidi="en-US"/>
              </w:rPr>
              <w:t>●</w:t>
            </w:r>
          </w:p>
          <w:p>
            <w:pPr>
              <w:pStyle w:val="Normal"/>
              <w:widowControl w:val="false"/>
              <w:suppressAutoHyphens w:val="true"/>
              <w:spacing w:lineRule="auto" w:line="276" w:before="0" w:after="200"/>
              <w:rPr>
                <w:rFonts w:ascii="Arial" w:hAnsi="Arial" w:cs="Arial"/>
                <w:color w:val="99CC00"/>
                <w:sz w:val="22"/>
                <w:szCs w:val="22"/>
                <w:lang w:bidi="en-US"/>
              </w:rPr>
            </w:pPr>
            <w:r>
              <w:rPr>
                <w:rFonts w:cs="Arial" w:ascii="Arial" w:hAnsi="Arial"/>
                <w:color w:val="99CC00"/>
                <w:sz w:val="22"/>
                <w:szCs w:val="22"/>
                <w:lang w:bidi="en-US"/>
              </w:rPr>
              <w:t>●</w:t>
            </w:r>
          </w:p>
        </w:tc>
        <w:tc>
          <w:tcPr>
            <w:tcW w:w="8557" w:type="dxa"/>
            <w:tcBorders/>
            <w:shd w:fill="FFFFFF" w:val="clear"/>
          </w:tcPr>
          <w:p>
            <w:pPr>
              <w:pStyle w:val="ListParagraph"/>
              <w:widowControl w:val="false"/>
              <w:numPr>
                <w:ilvl w:val="0"/>
                <w:numId w:val="34"/>
              </w:numPr>
              <w:suppressAutoHyphens w:val="true"/>
              <w:spacing w:lineRule="auto" w:line="276" w:before="0" w:after="200"/>
              <w:rPr/>
            </w:pPr>
            <w:r>
              <w:rPr>
                <w:rFonts w:cs="Arial" w:ascii="Arial" w:hAnsi="Arial"/>
                <w:b/>
                <w:bCs/>
                <w:color w:val="000000"/>
                <w:sz w:val="22"/>
                <w:szCs w:val="22"/>
                <w:lang w:bidi="en-US"/>
              </w:rPr>
              <w:t>If a meeting is or becomes inquorate no business shall be transacted</w:t>
            </w:r>
            <w:r>
              <w:rPr>
                <w:rFonts w:cs="Arial" w:ascii="Arial" w:hAnsi="Arial"/>
                <w:color w:val="000000"/>
                <w:sz w:val="22"/>
                <w:szCs w:val="22"/>
                <w:lang w:bidi="en-US"/>
              </w:rPr>
              <w:t xml:space="preserve"> and the meeting shall be closed. The business on the agenda for the meeting shall be adjourned to another meeting. </w:t>
            </w:r>
          </w:p>
        </w:tc>
      </w:tr>
      <w:tr>
        <w:trPr>
          <w:trHeight w:val="1135" w:hRule="atLeast"/>
        </w:trPr>
        <w:tc>
          <w:tcPr>
            <w:tcW w:w="424" w:type="dxa"/>
            <w:tcBorders/>
            <w:shd w:fill="FFFFFF" w:val="clear"/>
          </w:tcPr>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tc>
        <w:tc>
          <w:tcPr>
            <w:tcW w:w="8557" w:type="dxa"/>
            <w:tcBorders/>
            <w:shd w:fill="FFFFFF" w:val="clear"/>
          </w:tcPr>
          <w:p>
            <w:pPr>
              <w:pStyle w:val="ListParagraph"/>
              <w:widowControl w:val="false"/>
              <w:numPr>
                <w:ilvl w:val="0"/>
                <w:numId w:val="34"/>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A meeting shall not exceed a period of (   ) hours.</w:t>
            </w:r>
          </w:p>
        </w:tc>
      </w:tr>
    </w:tbl>
    <w:p>
      <w:pPr>
        <w:pStyle w:val="Heading1"/>
        <w:numPr>
          <w:ilvl w:val="0"/>
          <w:numId w:val="1"/>
        </w:numPr>
        <w:spacing w:lineRule="auto" w:line="276" w:before="0" w:after="200"/>
        <w:rPr>
          <w:rFonts w:ascii="Arial" w:hAnsi="Arial" w:cs="Arial"/>
          <w:b/>
          <w:b/>
          <w:szCs w:val="22"/>
        </w:rPr>
      </w:pPr>
      <w:bookmarkStart w:id="35" w:name="_Toc359336486"/>
      <w:bookmarkStart w:id="36" w:name="_Toc357072134"/>
      <w:bookmarkStart w:id="37" w:name="_Toc359318558"/>
      <w:bookmarkStart w:id="38" w:name="_Toc359334506"/>
      <w:bookmarkStart w:id="39" w:name="_Toc359334785"/>
      <w:bookmarkStart w:id="40" w:name="_Toc359336487"/>
      <w:bookmarkStart w:id="41" w:name="__RefHeading__1834_1299669005"/>
      <w:bookmarkStart w:id="42" w:name="Bookmark6"/>
      <w:bookmarkStart w:id="43" w:name="_Toc357783750"/>
      <w:bookmarkStart w:id="44" w:name="_Toc357784083"/>
      <w:bookmarkStart w:id="45" w:name="_Toc358979789"/>
      <w:bookmarkStart w:id="46" w:name="_Toc358979841"/>
      <w:bookmarkStart w:id="47" w:name="_Toc359318557"/>
      <w:bookmarkStart w:id="48" w:name="_Toc359319488"/>
      <w:bookmarkStart w:id="49" w:name="_Toc359319640"/>
      <w:bookmarkStart w:id="50" w:name="_Toc359334505"/>
      <w:bookmarkStart w:id="51" w:name="_Toc359334784"/>
      <w:bookmarkEnd w:id="41"/>
      <w:bookmarkEnd w:id="42"/>
      <w:bookmarkEnd w:id="43"/>
      <w:bookmarkEnd w:id="44"/>
      <w:bookmarkEnd w:id="45"/>
      <w:bookmarkEnd w:id="46"/>
      <w:bookmarkEnd w:id="47"/>
      <w:bookmarkEnd w:id="48"/>
      <w:bookmarkEnd w:id="49"/>
      <w:bookmarkEnd w:id="50"/>
      <w:bookmarkEnd w:id="51"/>
      <w:bookmarkEnd w:id="35"/>
      <w:bookmarkEnd w:id="36"/>
      <w:bookmarkEnd w:id="37"/>
      <w:bookmarkEnd w:id="38"/>
      <w:bookmarkEnd w:id="39"/>
      <w:bookmarkEnd w:id="40"/>
      <w:r>
        <w:rPr>
          <w:rFonts w:cs="Arial" w:ascii="Arial" w:hAnsi="Arial"/>
          <w:b/>
          <w:szCs w:val="22"/>
        </w:rPr>
        <w:t>COMMITTEES AND SUB-COMMITTEES</w:t>
      </w:r>
    </w:p>
    <w:p>
      <w:pPr>
        <w:pStyle w:val="Normal"/>
        <w:spacing w:lineRule="auto" w:line="276" w:before="0" w:after="200"/>
        <w:rPr>
          <w:rFonts w:ascii="Arial" w:hAnsi="Arial" w:cs="Arial"/>
          <w:sz w:val="22"/>
          <w:szCs w:val="22"/>
        </w:rPr>
      </w:pPr>
      <w:r>
        <w:rPr>
          <w:rFonts w:cs="Arial" w:ascii="Arial" w:hAnsi="Arial"/>
          <w:sz w:val="22"/>
          <w:szCs w:val="22"/>
        </w:rPr>
      </w:r>
    </w:p>
    <w:p>
      <w:pPr>
        <w:pStyle w:val="ListParagraph"/>
        <w:widowControl w:val="false"/>
        <w:numPr>
          <w:ilvl w:val="0"/>
          <w:numId w:val="22"/>
        </w:numPr>
        <w:spacing w:lineRule="auto" w:line="276" w:before="0" w:after="200"/>
        <w:rPr>
          <w:rFonts w:ascii="Arial" w:hAnsi="Arial" w:cs="Arial"/>
          <w:b/>
          <w:b/>
          <w:iCs/>
          <w:color w:val="000000"/>
          <w:sz w:val="22"/>
          <w:szCs w:val="22"/>
          <w:lang w:bidi="en-US"/>
        </w:rPr>
      </w:pPr>
      <w:r>
        <w:rPr>
          <w:rFonts w:cs="Arial" w:ascii="Arial" w:hAnsi="Arial"/>
          <w:b/>
          <w:iCs/>
          <w:color w:val="000000"/>
          <w:sz w:val="22"/>
          <w:szCs w:val="22"/>
          <w:lang w:bidi="en-US"/>
        </w:rPr>
        <w:t>Unless the Council determines otherwise, a committee may appoint a sub-committee whose terms of reference and members shall be determined by the committee.</w:t>
      </w:r>
    </w:p>
    <w:p>
      <w:pPr>
        <w:pStyle w:val="ListParagraph"/>
        <w:widowControl w:val="false"/>
        <w:numPr>
          <w:ilvl w:val="0"/>
          <w:numId w:val="22"/>
        </w:numPr>
        <w:spacing w:lineRule="auto" w:line="276" w:before="0" w:after="200"/>
        <w:rPr>
          <w:rFonts w:ascii="Arial" w:hAnsi="Arial" w:cs="Arial"/>
          <w:b/>
          <w:b/>
          <w:iCs/>
          <w:color w:val="000000"/>
          <w:sz w:val="22"/>
          <w:szCs w:val="22"/>
          <w:lang w:bidi="en-US"/>
        </w:rPr>
      </w:pPr>
      <w:r>
        <w:rPr>
          <w:rFonts w:cs="Arial" w:ascii="Arial" w:hAnsi="Arial"/>
          <w:b/>
          <w:iCs/>
          <w:color w:val="000000"/>
          <w:sz w:val="22"/>
          <w:szCs w:val="22"/>
          <w:lang w:bidi="en-US"/>
        </w:rPr>
        <w:t>The members of a committee may include non-councillors unless it is a committee which regulates and controls the finances of the Council.</w:t>
      </w:r>
    </w:p>
    <w:p>
      <w:pPr>
        <w:pStyle w:val="ListParagraph"/>
        <w:widowControl w:val="false"/>
        <w:numPr>
          <w:ilvl w:val="0"/>
          <w:numId w:val="22"/>
        </w:numPr>
        <w:spacing w:lineRule="auto" w:line="276" w:before="0" w:after="200"/>
        <w:rPr>
          <w:rFonts w:ascii="Arial" w:hAnsi="Arial" w:cs="Arial"/>
          <w:b/>
          <w:b/>
          <w:iCs/>
          <w:color w:val="000000"/>
          <w:sz w:val="22"/>
          <w:szCs w:val="22"/>
          <w:lang w:bidi="en-US"/>
        </w:rPr>
      </w:pPr>
      <w:r>
        <w:rPr>
          <w:rFonts w:cs="Arial" w:ascii="Arial" w:hAnsi="Arial"/>
          <w:b/>
          <w:iCs/>
          <w:color w:val="000000"/>
          <w:sz w:val="22"/>
          <w:szCs w:val="22"/>
          <w:lang w:bidi="en-US"/>
        </w:rPr>
        <w:t>Unless the Council determines otherwise, all the members of an advisory committee and a sub-committee of the advisory committee may be non-councillors.</w:t>
      </w:r>
    </w:p>
    <w:p>
      <w:pPr>
        <w:pStyle w:val="ListParagraph"/>
        <w:widowControl w:val="false"/>
        <w:numPr>
          <w:ilvl w:val="0"/>
          <w:numId w:val="22"/>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The Council may appoint standing committees or other committees as may be necessary, and:</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determine their terms of reference;</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determine the number and time of the ordinary meetings of a standing committee up until the date of the next annual meeting of the Council;</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permit a committee, other than in respect of the ordinary meetings of a committee, to determine the number and time of its meetings;</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subject to standing orders 4(b) and (c), appoint and determine the terms of office of members of such a committee;</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after it has appointed the members of a standing committee, appoint the chairman of the standing committee;</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shall permit a committee other than a standing committee, to appoint its own chairman at the first meeting of the committee; </w:t>
      </w:r>
    </w:p>
    <w:p>
      <w:pPr>
        <w:pStyle w:val="Normal"/>
        <w:widowControl w:val="false"/>
        <w:numPr>
          <w:ilvl w:val="0"/>
          <w:numId w:val="17"/>
        </w:numPr>
        <w:tabs>
          <w:tab w:val="left" w:pos="1134" w:leader="none"/>
        </w:tabs>
        <w:suppressAutoHyphens w:val="true"/>
        <w:spacing w:lineRule="auto" w:line="276" w:before="0" w:after="200"/>
        <w:ind w:left="1134" w:right="0" w:hanging="0"/>
        <w:rPr/>
      </w:pPr>
      <w:r>
        <w:rPr>
          <w:rFonts w:cs="Arial" w:ascii="Arial" w:hAnsi="Arial"/>
          <w:color w:val="000000"/>
          <w:sz w:val="22"/>
          <w:szCs w:val="22"/>
          <w:lang w:bidi="en-US"/>
        </w:rPr>
        <w:t>shall determine the place, notice requirements and quorum for a meeting of a committee and a sub-committee which, in both cases, shall be no less than three;</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determine if the public may participate at a meeting of a committee;</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pPr>
        <w:pStyle w:val="Normal"/>
        <w:spacing w:before="0" w:after="20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shall determine if the public may participate at a meeting of a sub-committee that they are permitted to attend; and</w:t>
      </w:r>
    </w:p>
    <w:p>
      <w:pPr>
        <w:pStyle w:val="Normal"/>
        <w:widowControl w:val="false"/>
        <w:numPr>
          <w:ilvl w:val="0"/>
          <w:numId w:val="17"/>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may dissolve a committee or a sub-committee.</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pPr>
      <w:bookmarkStart w:id="52" w:name="__RefHeading__1836_1299669005"/>
      <w:bookmarkStart w:id="53" w:name="Bookmark7"/>
      <w:bookmarkStart w:id="54" w:name="_Toc357072135"/>
      <w:bookmarkStart w:id="55" w:name="_Toc359318559"/>
      <w:bookmarkStart w:id="56" w:name="_Toc359334507"/>
      <w:bookmarkStart w:id="57" w:name="_Toc359334786"/>
      <w:bookmarkStart w:id="58" w:name="_Toc359336488"/>
      <w:bookmarkEnd w:id="52"/>
      <w:r>
        <w:rPr>
          <w:rFonts w:cs="Arial" w:ascii="Arial" w:hAnsi="Arial"/>
          <w:b/>
          <w:szCs w:val="22"/>
        </w:rPr>
        <w:t>ORDINARY COUNCIL MEETINGS</w:t>
      </w:r>
      <w:bookmarkEnd w:id="53"/>
      <w:bookmarkEnd w:id="54"/>
      <w:bookmarkEnd w:id="55"/>
      <w:bookmarkEnd w:id="56"/>
      <w:bookmarkEnd w:id="57"/>
      <w:bookmarkEnd w:id="58"/>
      <w:r>
        <w:rPr>
          <w:rFonts w:cs="Arial" w:ascii="Arial" w:hAnsi="Arial"/>
          <w:b/>
          <w:szCs w:val="22"/>
        </w:rPr>
        <w:t xml:space="preserve"> </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In an election year, the annual meeting of the Council shall be held on or within 14 days following the day on which the councillors elected take office.</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In a year which is not an election year, the annual meeting of the Council shall be held on such day in May as the Council decides.</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If no other time is fixed, the annual meeting of the Council shall take place at 6pm.</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 xml:space="preserve">In addition to the annual meeting of the Council, any number of other ordinary meetings may be held in each year on such dates and times as the Council decides. </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The first business conducted at the annual meeting of the Council shall be the election of the Chairman and Vice-Chairman (if there is one) of the Council.</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pPr>
        <w:pStyle w:val="Normal"/>
        <w:widowControl w:val="false"/>
        <w:numPr>
          <w:ilvl w:val="0"/>
          <w:numId w:val="2"/>
        </w:numPr>
        <w:tabs>
          <w:tab w:val="left" w:pos="567" w:leader="none"/>
        </w:tabs>
        <w:suppressAutoHyphens w:val="true"/>
        <w:spacing w:lineRule="auto" w:line="276" w:before="0" w:after="200"/>
        <w:ind w:left="567" w:right="0" w:hanging="0"/>
        <w:rPr/>
      </w:pPr>
      <w:r>
        <w:rPr>
          <w:rFonts w:cs="Arial" w:ascii="Arial" w:hAnsi="Arial"/>
          <w:b/>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pPr>
        <w:pStyle w:val="Normal"/>
        <w:spacing w:before="0" w:after="200"/>
        <w:rPr>
          <w:rFonts w:ascii="Arial" w:hAnsi="Arial" w:cs="Arial"/>
          <w:color w:val="000000"/>
          <w:sz w:val="22"/>
          <w:szCs w:val="22"/>
          <w:lang w:bidi="en-US"/>
        </w:rPr>
      </w:pPr>
      <w:r>
        <w:rPr>
          <w:rFonts w:cs="Arial" w:ascii="Arial" w:hAnsi="Arial"/>
          <w:color w:val="000000"/>
          <w:sz w:val="22"/>
          <w:szCs w:val="22"/>
          <w:lang w:bidi="en-US"/>
        </w:rPr>
      </w:r>
      <w:r>
        <w:br w:type="page"/>
      </w:r>
    </w:p>
    <w:p>
      <w:pPr>
        <w:pStyle w:val="Normal"/>
        <w:widowControl w:val="false"/>
        <w:numPr>
          <w:ilvl w:val="0"/>
          <w:numId w:val="2"/>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Following the election of the Chairman of the Council and Vice-Chairman (if there is one) of the Council at the annual meeting, the business shall include:</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b/>
          <w:b/>
          <w:color w:val="000000"/>
          <w:sz w:val="22"/>
          <w:szCs w:val="22"/>
          <w:lang w:bidi="en-US"/>
        </w:rPr>
      </w:pPr>
      <w:r>
        <w:rPr>
          <w:rFonts w:cs="Arial" w:ascii="Arial" w:hAnsi="Arial"/>
          <w:b/>
          <w:color w:val="000000"/>
          <w:sz w:val="22"/>
          <w:szCs w:val="22"/>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Confirmation of the accuracy of the minutes of the last meeting of the Council;</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Receipt of the minutes of the last meeting of a committee;</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Consideration of the recommendations made by a committee;</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delegation arrangements to committees, sub-committees, staff and other local authorities;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terms of reference for committees;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Appointment of members to existing committees;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Appointment of any new committees in accordance with standing order 4;</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and adoption of appropriate standing orders and financial regulations;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arrangements (including legal agreements) with other local authorities, not-for-profit bodies and businesses;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representation on or work with external bodies and arrangements for reporting back;</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inventory of land and other assets including buildings and office equipment;</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Confirmation of arrangements for insurance cover in respect of all insurable risks;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Council’s and/or staff subscriptions to other bodies;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Council’s complaints procedure;</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pPr>
      <w:r>
        <w:rPr>
          <w:rFonts w:cs="Arial" w:ascii="Arial" w:hAnsi="Arial"/>
          <w:color w:val="000000"/>
          <w:sz w:val="22"/>
          <w:szCs w:val="22"/>
          <w:lang w:bidi="en-US"/>
        </w:rPr>
        <w:t>Review of the Council’s policies, procedures and practices in respect of its obligations under freedom of information and data protection legislation (</w:t>
      </w:r>
      <w:r>
        <w:rPr>
          <w:rFonts w:cs="Arial" w:ascii="Arial" w:hAnsi="Arial"/>
          <w:i/>
          <w:color w:val="000000"/>
          <w:sz w:val="22"/>
          <w:szCs w:val="22"/>
          <w:lang w:bidi="en-US"/>
        </w:rPr>
        <w:t>see also standing orders 11, 20 and 21</w:t>
      </w:r>
      <w:r>
        <w:rPr>
          <w:rFonts w:cs="Arial" w:ascii="Arial" w:hAnsi="Arial"/>
          <w:color w:val="000000"/>
          <w:sz w:val="22"/>
          <w:szCs w:val="22"/>
          <w:lang w:bidi="en-US"/>
        </w:rPr>
        <w:t>);</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Council’s policy for dealing with the press/media;</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Council’s employment policies and procedures;</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Review of the Council’s expenditure incurred under s.137 of the Local Government Act 1972 or the power of well-being.</w:t>
      </w:r>
    </w:p>
    <w:p>
      <w:pPr>
        <w:pStyle w:val="Normal"/>
        <w:widowControl w:val="false"/>
        <w:numPr>
          <w:ilvl w:val="2"/>
          <w:numId w:val="2"/>
        </w:numPr>
        <w:tabs>
          <w:tab w:val="left" w:pos="1134" w:leader="none"/>
          <w:tab w:val="left" w:pos="1701" w:leader="none"/>
        </w:tabs>
        <w:suppressAutoHyphens w:val="true"/>
        <w:spacing w:lineRule="auto" w:line="276" w:before="0" w:after="200"/>
        <w:ind w:left="1134" w:right="0" w:hanging="567"/>
        <w:rPr/>
      </w:pPr>
      <w:r>
        <w:rPr>
          <w:rFonts w:cs="Arial" w:ascii="Arial" w:hAnsi="Arial"/>
          <w:bCs/>
          <w:color w:val="000000"/>
          <w:sz w:val="22"/>
          <w:szCs w:val="22"/>
          <w:lang w:bidi="en-US"/>
        </w:rPr>
        <w:t xml:space="preserve">Determining </w:t>
      </w:r>
      <w:r>
        <w:rPr>
          <w:rFonts w:cs="Arial" w:ascii="Arial" w:hAnsi="Arial"/>
          <w:color w:val="000000"/>
          <w:sz w:val="22"/>
          <w:szCs w:val="22"/>
          <w:lang w:bidi="en-US"/>
        </w:rPr>
        <w:t xml:space="preserve">the time and place of ordinary meetings of the Council up to and including the next annual meeting of the Council. </w:t>
      </w:r>
    </w:p>
    <w:p>
      <w:pPr>
        <w:pStyle w:val="Normal"/>
        <w:widowControl w:val="false"/>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1"/>
        </w:numPr>
        <w:spacing w:lineRule="auto" w:line="276" w:before="0" w:after="200"/>
        <w:rPr/>
      </w:pPr>
      <w:bookmarkStart w:id="59" w:name="_Toc357072136"/>
      <w:bookmarkStart w:id="60" w:name="_Toc359318560"/>
      <w:bookmarkStart w:id="61" w:name="_Toc359334508"/>
      <w:bookmarkStart w:id="62" w:name="_Toc359334787"/>
      <w:bookmarkStart w:id="63" w:name="_Toc359336489"/>
      <w:bookmarkStart w:id="64" w:name="__RefHeading__1838_1299669005"/>
      <w:bookmarkStart w:id="65" w:name="Bookmark8"/>
      <w:bookmarkEnd w:id="64"/>
      <w:r>
        <w:rPr>
          <w:rFonts w:cs="Arial" w:ascii="Arial" w:hAnsi="Arial"/>
          <w:b/>
          <w:szCs w:val="22"/>
        </w:rPr>
        <w:t>EXTRAORDINARY MEETINGS</w:t>
      </w:r>
      <w:bookmarkEnd w:id="65"/>
      <w:bookmarkEnd w:id="59"/>
      <w:bookmarkEnd w:id="60"/>
      <w:bookmarkEnd w:id="61"/>
      <w:bookmarkEnd w:id="62"/>
      <w:bookmarkEnd w:id="63"/>
      <w:r>
        <w:rPr>
          <w:rFonts w:cs="Arial" w:ascii="Arial" w:hAnsi="Arial"/>
          <w:b/>
          <w:szCs w:val="22"/>
        </w:rPr>
        <w:t xml:space="preserve"> OF THE COUNCIL, COMMITTEES AND SUB-COMMITTEES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 xml:space="preserve">The Chairman of the Council may convene an extraordinary meeting of the Council at any time. </w:t>
      </w:r>
    </w:p>
    <w:p>
      <w:pPr>
        <w:pStyle w:val="Normal"/>
        <w:widowControl w:val="false"/>
        <w:numPr>
          <w:ilvl w:val="0"/>
          <w:numId w:val="12"/>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pPr>
        <w:pStyle w:val="Normal"/>
        <w:widowControl w:val="false"/>
        <w:numPr>
          <w:ilvl w:val="0"/>
          <w:numId w:val="12"/>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The chairman of a committee [or a sub-committee] may convene an extraordinary meeting of the committee [or the sub-committee] at any time. </w:t>
      </w:r>
    </w:p>
    <w:p>
      <w:pPr>
        <w:pStyle w:val="Normal"/>
        <w:widowControl w:val="false"/>
        <w:numPr>
          <w:ilvl w:val="0"/>
          <w:numId w:val="12"/>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If the chairman of a committee [or a sub-committee] does not call an extraordinary meeting within (  ) days of having been requested to do so by (   ) members of the committee [or the sub-committee], any (   ) members of the committee [or the sub-committee] may convene an extraordinary meeting of the committee [or the sub-committee]. </w:t>
      </w:r>
    </w:p>
    <w:p>
      <w:pPr>
        <w:pStyle w:val="ListParagraph"/>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rFonts w:ascii="Arial" w:hAnsi="Arial" w:cs="Arial"/>
          <w:b/>
          <w:b/>
          <w:szCs w:val="22"/>
        </w:rPr>
      </w:pPr>
      <w:bookmarkStart w:id="66" w:name="Bookmark9"/>
      <w:bookmarkStart w:id="67" w:name="_Toc359318561"/>
      <w:bookmarkStart w:id="68" w:name="_Toc359334509"/>
      <w:bookmarkStart w:id="69" w:name="_Toc359334788"/>
      <w:bookmarkStart w:id="70" w:name="_Toc359336490"/>
      <w:bookmarkStart w:id="71" w:name="__RefHeading__1840_1299669005"/>
      <w:bookmarkEnd w:id="71"/>
      <w:bookmarkEnd w:id="66"/>
      <w:bookmarkEnd w:id="67"/>
      <w:bookmarkEnd w:id="68"/>
      <w:bookmarkEnd w:id="69"/>
      <w:bookmarkEnd w:id="70"/>
      <w:r>
        <w:rPr>
          <w:rFonts w:cs="Arial" w:ascii="Arial" w:hAnsi="Arial"/>
          <w:b/>
          <w:szCs w:val="22"/>
        </w:rPr>
        <w:t>PREVIOUS RESOLUTIONS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9"/>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 resolution shall not be reversed within six months except either by a special motion, which requires written notice by at least (   ) councillors to be given to the Proper Officer in accordance with standing order 9, or by a motion moved in pursuance of the recommendation of a committee or a sub-committee.</w:t>
      </w:r>
    </w:p>
    <w:p>
      <w:pPr>
        <w:pStyle w:val="Normal"/>
        <w:widowControl w:val="false"/>
        <w:numPr>
          <w:ilvl w:val="0"/>
          <w:numId w:val="9"/>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When a motion moved pursuant to standing order 7(a) has been disposed of, no similar motion may be moved for a further six months.</w:t>
      </w:r>
    </w:p>
    <w:p>
      <w:pPr>
        <w:pStyle w:val="Normal"/>
        <w:spacing w:before="0" w:after="200"/>
        <w:rPr>
          <w:rFonts w:ascii="Arial" w:hAnsi="Arial" w:cs="Arial"/>
          <w:b/>
          <w:b/>
          <w:bCs/>
          <w:color w:val="000000"/>
          <w:sz w:val="22"/>
          <w:szCs w:val="22"/>
        </w:rPr>
      </w:pPr>
      <w:bookmarkStart w:id="72" w:name="Bookmark10"/>
      <w:bookmarkStart w:id="73" w:name="_Toc357072133"/>
      <w:bookmarkStart w:id="74" w:name="_Toc359318562"/>
      <w:bookmarkStart w:id="75" w:name="_Toc359334510"/>
      <w:bookmarkStart w:id="76" w:name="_Toc359334789"/>
      <w:bookmarkStart w:id="77" w:name="Bookmark10"/>
      <w:bookmarkStart w:id="78" w:name="_Toc357072133"/>
      <w:bookmarkStart w:id="79" w:name="_Toc359318562"/>
      <w:bookmarkStart w:id="80" w:name="_Toc359334510"/>
      <w:bookmarkStart w:id="81" w:name="_Toc359334789"/>
      <w:r>
        <w:rPr>
          <w:rFonts w:cs="Arial" w:ascii="Arial" w:hAnsi="Arial"/>
          <w:b/>
          <w:bCs/>
          <w:color w:val="000000"/>
          <w:sz w:val="22"/>
          <w:szCs w:val="22"/>
        </w:rPr>
      </w:r>
      <w:r>
        <w:br w:type="page"/>
      </w:r>
    </w:p>
    <w:p>
      <w:pPr>
        <w:pStyle w:val="Heading1"/>
        <w:numPr>
          <w:ilvl w:val="0"/>
          <w:numId w:val="1"/>
        </w:numPr>
        <w:spacing w:lineRule="auto" w:line="276" w:before="0" w:after="200"/>
        <w:rPr>
          <w:rFonts w:ascii="Arial" w:hAnsi="Arial" w:cs="Arial"/>
          <w:b/>
          <w:b/>
          <w:szCs w:val="22"/>
        </w:rPr>
      </w:pPr>
      <w:bookmarkStart w:id="82" w:name="Bookmark10"/>
      <w:bookmarkStart w:id="83" w:name="_Toc357072133"/>
      <w:bookmarkStart w:id="84" w:name="_Toc359318562"/>
      <w:bookmarkStart w:id="85" w:name="_Toc359334510"/>
      <w:bookmarkStart w:id="86" w:name="_Toc359334789"/>
      <w:bookmarkStart w:id="87" w:name="_Toc359336491"/>
      <w:bookmarkStart w:id="88" w:name="__RefHeading__1842_1299669005"/>
      <w:bookmarkEnd w:id="88"/>
      <w:bookmarkEnd w:id="82"/>
      <w:bookmarkEnd w:id="83"/>
      <w:bookmarkEnd w:id="84"/>
      <w:bookmarkEnd w:id="85"/>
      <w:bookmarkEnd w:id="86"/>
      <w:bookmarkEnd w:id="87"/>
      <w:r>
        <w:rPr>
          <w:rFonts w:cs="Arial" w:ascii="Arial" w:hAnsi="Arial"/>
          <w:b/>
          <w:szCs w:val="22"/>
        </w:rPr>
        <w:t>VOTING ON APPOINTMENTS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0"/>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pPr>
        <w:pStyle w:val="Normal"/>
        <w:widowControl w:val="false"/>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1"/>
        </w:numPr>
        <w:spacing w:lineRule="auto" w:line="276" w:before="0" w:after="200"/>
        <w:rPr/>
      </w:pPr>
      <w:bookmarkStart w:id="89" w:name="__RefHeading__1844_1299669005"/>
      <w:bookmarkStart w:id="90" w:name="Bookmark11"/>
      <w:bookmarkStart w:id="91" w:name="_Toc357072137"/>
      <w:bookmarkStart w:id="92" w:name="_Toc359318563"/>
      <w:bookmarkStart w:id="93" w:name="_Toc359334511"/>
      <w:bookmarkStart w:id="94" w:name="_Toc359334790"/>
      <w:bookmarkStart w:id="95" w:name="_Toc359336492"/>
      <w:bookmarkEnd w:id="89"/>
      <w:r>
        <w:rPr>
          <w:rFonts w:cs="Arial" w:ascii="Arial" w:hAnsi="Arial"/>
          <w:b/>
          <w:szCs w:val="22"/>
        </w:rPr>
        <w:t>MOTIONS FOR A MEETING THAT REQUIRE WRITTEN NOTICE TO BE GIVEN TO THE PROPER OFFICER</w:t>
      </w:r>
      <w:bookmarkEnd w:id="90"/>
      <w:bookmarkEnd w:id="91"/>
      <w:bookmarkEnd w:id="92"/>
      <w:bookmarkEnd w:id="93"/>
      <w:bookmarkEnd w:id="94"/>
      <w:bookmarkEnd w:id="95"/>
      <w:r>
        <w:rPr>
          <w:rFonts w:cs="Arial" w:ascii="Arial" w:hAnsi="Arial"/>
          <w:b/>
          <w:szCs w:val="22"/>
        </w:rPr>
        <w:t xml:space="preserve"> </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numPr>
          <w:ilvl w:val="0"/>
          <w:numId w:val="3"/>
        </w:numPr>
        <w:tabs>
          <w:tab w:val="left" w:pos="567" w:leader="none"/>
        </w:tabs>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   ) clear days before the meeting. </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The decision of the Proper Officer as to whether or not to include the motion on the agenda shall be final. </w:t>
      </w:r>
    </w:p>
    <w:p>
      <w:pPr>
        <w:pStyle w:val="Normal"/>
        <w:widowControl w:val="false"/>
        <w:numPr>
          <w:ilvl w:val="0"/>
          <w:numId w:val="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Motions received shall be recorded and numbered in the order that they are received.</w:t>
      </w:r>
    </w:p>
    <w:p>
      <w:pPr>
        <w:pStyle w:val="Normal"/>
        <w:widowControl w:val="false"/>
        <w:numPr>
          <w:ilvl w:val="0"/>
          <w:numId w:val="3"/>
        </w:numPr>
        <w:tabs>
          <w:tab w:val="left" w:pos="567" w:leader="none"/>
        </w:tabs>
        <w:suppressAutoHyphens w:val="true"/>
        <w:spacing w:lineRule="auto" w:line="276" w:before="0" w:after="200"/>
        <w:ind w:left="567" w:right="0" w:hanging="0"/>
        <w:rPr/>
      </w:pPr>
      <w:r>
        <w:rPr>
          <w:rFonts w:cs="Arial" w:ascii="Arial" w:hAnsi="Arial"/>
          <w:color w:val="000000"/>
          <w:sz w:val="22"/>
          <w:szCs w:val="22"/>
          <w:lang w:bidi="en-US"/>
        </w:rPr>
        <w:t>Motions rejected shall be recorded</w:t>
      </w:r>
      <w:r>
        <w:rPr>
          <w:rFonts w:cs="Arial" w:ascii="Arial" w:hAnsi="Arial"/>
          <w:sz w:val="22"/>
          <w:szCs w:val="22"/>
        </w:rPr>
        <w:t xml:space="preserve"> </w:t>
      </w:r>
      <w:r>
        <w:rPr>
          <w:rFonts w:cs="Arial" w:ascii="Arial" w:hAnsi="Arial"/>
          <w:color w:val="000000"/>
          <w:sz w:val="22"/>
          <w:szCs w:val="22"/>
          <w:lang w:bidi="en-US"/>
        </w:rPr>
        <w:t xml:space="preserve">with an explanation by the Proper Officer of the reason for rejection. </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pPr>
      <w:bookmarkStart w:id="96" w:name="_Toc509572267"/>
      <w:bookmarkStart w:id="97" w:name="__RefHeading__1846_1299669005"/>
      <w:bookmarkStart w:id="98" w:name="_Toc359336495"/>
      <w:bookmarkStart w:id="99" w:name="_Toc359318564"/>
      <w:bookmarkStart w:id="100" w:name="_Toc359334515"/>
      <w:bookmarkStart w:id="101" w:name="_Toc359334794"/>
      <w:bookmarkStart w:id="102" w:name="_Toc359336496"/>
      <w:bookmarkStart w:id="103" w:name="Bookmark12"/>
      <w:bookmarkStart w:id="104" w:name="_Toc359334512"/>
      <w:bookmarkStart w:id="105" w:name="_Toc359334791"/>
      <w:bookmarkStart w:id="106" w:name="_Toc359336493"/>
      <w:bookmarkStart w:id="107" w:name="_Toc359334513"/>
      <w:bookmarkStart w:id="108" w:name="_Toc359334792"/>
      <w:bookmarkStart w:id="109" w:name="_Toc359336494"/>
      <w:bookmarkStart w:id="110" w:name="_Toc359334514"/>
      <w:bookmarkStart w:id="111" w:name="_Toc359334793"/>
      <w:bookmarkEnd w:id="97"/>
      <w:bookmarkEnd w:id="103"/>
      <w:bookmarkEnd w:id="104"/>
      <w:bookmarkEnd w:id="105"/>
      <w:bookmarkEnd w:id="106"/>
      <w:bookmarkEnd w:id="107"/>
      <w:bookmarkEnd w:id="108"/>
      <w:bookmarkEnd w:id="109"/>
      <w:bookmarkEnd w:id="110"/>
      <w:bookmarkEnd w:id="111"/>
      <w:r>
        <w:rPr>
          <w:rFonts w:cs="Arial" w:ascii="Arial" w:hAnsi="Arial"/>
          <w:b/>
          <w:szCs w:val="22"/>
        </w:rPr>
        <w:t>MOTIONS AT A MEETING THAT DO NOT REQUIRE WRITTEN NOTICE</w:t>
      </w:r>
      <w:bookmarkEnd w:id="98"/>
      <w:bookmarkEnd w:id="99"/>
      <w:bookmarkEnd w:id="100"/>
      <w:bookmarkEnd w:id="101"/>
      <w:bookmarkEnd w:id="102"/>
      <w:bookmarkEnd w:id="96"/>
      <w:r>
        <w:rPr>
          <w:rFonts w:cs="Arial" w:ascii="Arial" w:hAnsi="Arial"/>
          <w:b/>
          <w:szCs w:val="22"/>
        </w:rPr>
        <w:t xml:space="preserve"> </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4"/>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The following motions may be moved at a meeting without written notice to the Proper Officer:</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correct an inaccuracy in the draft minutes of a meeting;</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move to a vote;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defer consideration of a motion;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refer a motion to a particular committee or sub-committee;</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appoint a person to preside at a meeting;</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change the order of business on the agenda;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proceed to the next business on the agenda;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require a written report;</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appoint a committee or sub-committee and their members;</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extend the time limits for speaking;</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exclude the press and public from a meeting in respect of confidential or other information which is prejudicial to the public interest;</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not hear further from a councillor or a member of the public;</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exclude a councillor or member of the public for disorderly conduct;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temporarily suspend the meeting; </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suspend a particular standing order (unless it reflects mandatory statutory or legal requirements);</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to adjourn the meeting; or</w:t>
      </w:r>
    </w:p>
    <w:p>
      <w:pPr>
        <w:pStyle w:val="Normal"/>
        <w:widowControl w:val="false"/>
        <w:numPr>
          <w:ilvl w:val="1"/>
          <w:numId w:val="20"/>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to close the meeting. </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pPr>
      <w:bookmarkStart w:id="112" w:name="_Toc509572268"/>
      <w:bookmarkStart w:id="113" w:name="_Toc359318565"/>
      <w:bookmarkStart w:id="114" w:name="_Toc359334516"/>
      <w:bookmarkStart w:id="115" w:name="_Toc359334795"/>
      <w:bookmarkStart w:id="116" w:name="_Toc359336497"/>
      <w:bookmarkStart w:id="117" w:name="__RefHeading__1848_1299669005"/>
      <w:bookmarkStart w:id="118" w:name="Bookmark13"/>
      <w:bookmarkEnd w:id="117"/>
      <w:r>
        <w:rPr>
          <w:rFonts w:cs="Arial" w:ascii="Arial" w:hAnsi="Arial"/>
          <w:b/>
          <w:szCs w:val="22"/>
        </w:rPr>
        <w:t>MANAGEMENT OF INFORMATION</w:t>
      </w:r>
      <w:bookmarkEnd w:id="118"/>
      <w:bookmarkEnd w:id="112"/>
      <w:bookmarkEnd w:id="113"/>
      <w:bookmarkEnd w:id="114"/>
      <w:bookmarkEnd w:id="115"/>
      <w:bookmarkEnd w:id="116"/>
      <w:r>
        <w:rPr>
          <w:rFonts w:cs="Arial" w:ascii="Arial" w:hAnsi="Arial"/>
          <w:b/>
          <w:szCs w:val="22"/>
        </w:rPr>
        <w:t xml:space="preserve"> </w:t>
      </w:r>
    </w:p>
    <w:p>
      <w:pPr>
        <w:pStyle w:val="Normal"/>
        <w:widowControl w:val="false"/>
        <w:suppressAutoHyphens w:val="true"/>
        <w:spacing w:lineRule="auto" w:line="276" w:before="0" w:after="200"/>
        <w:ind w:left="131" w:right="0" w:firstLine="720"/>
        <w:rPr>
          <w:rFonts w:ascii="Arial" w:hAnsi="Arial" w:cs="Arial"/>
          <w:i/>
          <w:i/>
          <w:sz w:val="22"/>
          <w:szCs w:val="22"/>
        </w:rPr>
      </w:pPr>
      <w:r>
        <w:rPr>
          <w:rFonts w:cs="Arial" w:ascii="Arial" w:hAnsi="Arial"/>
          <w:i/>
          <w:sz w:val="22"/>
          <w:szCs w:val="22"/>
        </w:rPr>
        <w:t>See also standing order 20.</w:t>
      </w:r>
    </w:p>
    <w:p>
      <w:pPr>
        <w:pStyle w:val="Normal"/>
        <w:widowControl w:val="false"/>
        <w:suppressAutoHyphens w:val="true"/>
        <w:spacing w:lineRule="auto" w:line="276" w:before="0" w:after="200"/>
        <w:ind w:left="131" w:right="0" w:firstLine="72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21"/>
        </w:numPr>
        <w:suppressAutoHyphens w:val="true"/>
        <w:spacing w:lineRule="auto" w:line="276" w:before="0" w:after="200"/>
        <w:ind w:left="567" w:right="0" w:hanging="0"/>
        <w:rPr>
          <w:rFonts w:ascii="Arial" w:hAnsi="Arial" w:cs="Arial"/>
          <w:b/>
          <w:b/>
          <w:color w:val="000000"/>
          <w:sz w:val="22"/>
          <w:szCs w:val="22"/>
          <w:lang w:bidi="en-US"/>
        </w:rPr>
      </w:pPr>
      <w:r>
        <w:rPr>
          <w:rFonts w:cs="Arial" w:ascii="Arial" w:hAnsi="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pPr>
        <w:pStyle w:val="ListParagraph"/>
        <w:numPr>
          <w:ilvl w:val="0"/>
          <w:numId w:val="21"/>
        </w:numPr>
        <w:spacing w:lineRule="auto" w:line="276" w:before="0" w:after="200"/>
        <w:ind w:left="567" w:right="0" w:hanging="0"/>
        <w:rPr>
          <w:rFonts w:ascii="Arial" w:hAnsi="Arial" w:cs="Arial"/>
          <w:b/>
          <w:b/>
          <w:color w:val="000000"/>
          <w:sz w:val="22"/>
          <w:szCs w:val="22"/>
          <w:lang w:bidi="en-US"/>
        </w:rPr>
      </w:pPr>
      <w:r>
        <w:rPr>
          <w:rFonts w:cs="Arial" w:ascii="Arial" w:hAnsi="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pPr>
        <w:pStyle w:val="Normal"/>
        <w:widowControl w:val="false"/>
        <w:numPr>
          <w:ilvl w:val="0"/>
          <w:numId w:val="21"/>
        </w:numPr>
        <w:suppressAutoHyphens w:val="true"/>
        <w:spacing w:lineRule="auto" w:line="276" w:before="0" w:after="200"/>
        <w:ind w:left="567" w:right="0" w:hanging="0"/>
        <w:rPr>
          <w:rFonts w:ascii="Arial" w:hAnsi="Arial" w:cs="Arial"/>
          <w:b/>
          <w:b/>
          <w:color w:val="000000"/>
          <w:sz w:val="22"/>
          <w:szCs w:val="22"/>
          <w:lang w:bidi="en-US"/>
        </w:rPr>
      </w:pPr>
      <w:r>
        <w:rPr>
          <w:rFonts w:cs="Arial" w:ascii="Arial" w:hAnsi="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pPr>
        <w:pStyle w:val="Normal"/>
        <w:widowControl w:val="false"/>
        <w:numPr>
          <w:ilvl w:val="0"/>
          <w:numId w:val="21"/>
        </w:numPr>
        <w:suppressAutoHyphens w:val="true"/>
        <w:spacing w:lineRule="auto" w:line="276" w:before="0" w:after="200"/>
        <w:ind w:left="567" w:right="0" w:hanging="0"/>
        <w:rPr>
          <w:rFonts w:ascii="Arial" w:hAnsi="Arial" w:cs="Arial"/>
          <w:b/>
          <w:b/>
          <w:color w:val="000000"/>
          <w:sz w:val="22"/>
          <w:szCs w:val="22"/>
          <w:lang w:bidi="en-US"/>
        </w:rPr>
      </w:pPr>
      <w:r>
        <w:rPr>
          <w:rFonts w:cs="Arial" w:ascii="Arial" w:hAnsi="Arial"/>
          <w:b/>
          <w:color w:val="000000"/>
          <w:sz w:val="22"/>
          <w:szCs w:val="22"/>
          <w:lang w:bidi="en-US"/>
        </w:rPr>
        <w:t>Councillors, staff, the Council’s contractors and agents shall not disclose confidential information or personal data without legal justification.</w:t>
      </w:r>
    </w:p>
    <w:p>
      <w:pPr>
        <w:pStyle w:val="Normal"/>
        <w:widowControl w:val="fals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r>
    </w:p>
    <w:p>
      <w:pPr>
        <w:pStyle w:val="Heading1"/>
        <w:numPr>
          <w:ilvl w:val="0"/>
          <w:numId w:val="1"/>
        </w:numPr>
        <w:spacing w:lineRule="auto" w:line="276" w:before="0" w:after="200"/>
        <w:rPr/>
      </w:pPr>
      <w:bookmarkStart w:id="119" w:name="_Toc509572269"/>
      <w:bookmarkStart w:id="120" w:name="__RefHeading__1850_1299669005"/>
      <w:bookmarkStart w:id="121" w:name="Bookmark14"/>
      <w:bookmarkStart w:id="122" w:name="_Toc357072141"/>
      <w:bookmarkStart w:id="123" w:name="_Toc359318566"/>
      <w:bookmarkStart w:id="124" w:name="_Toc359334517"/>
      <w:bookmarkStart w:id="125" w:name="_Toc359334796"/>
      <w:bookmarkStart w:id="126" w:name="_Toc359336498"/>
      <w:bookmarkEnd w:id="120"/>
      <w:r>
        <w:rPr>
          <w:rFonts w:cs="Arial" w:ascii="Arial" w:hAnsi="Arial"/>
          <w:b/>
          <w:szCs w:val="22"/>
        </w:rPr>
        <w:t>DRAFT MINUTES</w:t>
      </w:r>
      <w:bookmarkEnd w:id="121"/>
      <w:bookmarkEnd w:id="122"/>
      <w:bookmarkEnd w:id="123"/>
      <w:bookmarkEnd w:id="124"/>
      <w:bookmarkEnd w:id="125"/>
      <w:bookmarkEnd w:id="126"/>
      <w:r>
        <w:rPr>
          <w:rFonts w:cs="Arial" w:ascii="Arial" w:hAnsi="Arial"/>
          <w:b/>
          <w:szCs w:val="22"/>
        </w:rPr>
        <w:t xml:space="preserve"> </w:t>
      </w:r>
    </w:p>
    <w:p>
      <w:pPr>
        <w:pStyle w:val="Normal"/>
        <w:spacing w:lineRule="auto" w:line="276" w:before="0" w:after="200"/>
        <w:rPr/>
      </w:pPr>
      <w:r>
        <w:rPr/>
      </w:r>
    </w:p>
    <w:p>
      <w:pPr>
        <w:pStyle w:val="Normal"/>
        <w:spacing w:lineRule="auto" w:line="276" w:before="0" w:after="200"/>
        <w:ind w:left="567" w:right="0" w:hanging="567"/>
        <w:rPr>
          <w:rFonts w:ascii="Arial" w:hAnsi="Arial" w:cs="Arial"/>
          <w:sz w:val="22"/>
          <w:szCs w:val="22"/>
        </w:rPr>
      </w:pPr>
      <w:r>
        <w:rPr>
          <w:rFonts w:cs="Arial" w:ascii="Arial" w:hAnsi="Arial"/>
          <w:sz w:val="22"/>
          <w:szCs w:val="22"/>
        </w:rPr>
        <w:t>a</w:t>
        <w:tab/>
        <w:t>If the draft minutes of a preceding meeting have been served on councillors with the agenda to attend the meeting at which they are due to be approved for accuracy, they shall be taken as read.</w:t>
      </w:r>
    </w:p>
    <w:p>
      <w:pPr>
        <w:pStyle w:val="Normal"/>
        <w:spacing w:lineRule="auto" w:line="276" w:before="0" w:after="200"/>
        <w:ind w:left="567" w:right="0" w:hanging="567"/>
        <w:rPr>
          <w:rFonts w:ascii="Arial" w:hAnsi="Arial" w:cs="Arial"/>
          <w:sz w:val="22"/>
          <w:szCs w:val="22"/>
        </w:rPr>
      </w:pPr>
      <w:r>
        <w:rPr>
          <w:rFonts w:cs="Arial" w:ascii="Arial" w:hAnsi="Arial"/>
          <w:sz w:val="22"/>
          <w:szCs w:val="22"/>
        </w:rPr>
        <w:t>b</w:t>
        <w:tab/>
        <w:t>There shall be no discussion about the draft minutes of a preceding meeting except in relation to their accuracy. A motion to correct an inaccuracy in the draft minutes shall be moved in accordance with standing order 10(a)(i).</w:t>
      </w:r>
    </w:p>
    <w:p>
      <w:pPr>
        <w:pStyle w:val="Normal"/>
        <w:spacing w:lineRule="auto" w:line="276" w:before="0" w:after="200"/>
        <w:ind w:left="567" w:right="0" w:hanging="567"/>
        <w:rPr>
          <w:rFonts w:ascii="Arial" w:hAnsi="Arial" w:cs="Arial"/>
          <w:sz w:val="22"/>
          <w:szCs w:val="22"/>
        </w:rPr>
      </w:pPr>
      <w:r>
        <w:rPr>
          <w:rFonts w:cs="Arial" w:ascii="Arial" w:hAnsi="Arial"/>
          <w:sz w:val="22"/>
          <w:szCs w:val="22"/>
        </w:rPr>
        <w:t>c</w:t>
        <w:tab/>
        <w:t xml:space="preserve">The accuracy of draft minutes, including any amendment(s) made to them, shall be confirmed by resolution and shall be signed by the chairman of the meeting and stand as an accurate record of the meeting to which the minutes relate. </w:t>
      </w:r>
    </w:p>
    <w:p>
      <w:pPr>
        <w:pStyle w:val="Normal"/>
        <w:spacing w:lineRule="auto" w:line="276" w:before="0" w:after="200"/>
        <w:ind w:left="567" w:right="0" w:hanging="567"/>
        <w:rPr>
          <w:rFonts w:ascii="Arial" w:hAnsi="Arial" w:cs="Arial"/>
          <w:sz w:val="22"/>
          <w:szCs w:val="22"/>
        </w:rPr>
      </w:pPr>
      <w:r>
        <w:rPr>
          <w:rFonts w:cs="Arial" w:ascii="Arial" w:hAnsi="Arial"/>
          <w:sz w:val="22"/>
          <w:szCs w:val="22"/>
        </w:rPr>
        <w:t>d</w:t>
        <w:tab/>
        <w:t>If the chairman of the meeting does not consider the minutes to be an accurate record of the meeting to which they relate, he shall sign the minutes and include a paragraph in the following terms or to the same effect:</w:t>
      </w:r>
    </w:p>
    <w:p>
      <w:pPr>
        <w:pStyle w:val="Normal"/>
        <w:spacing w:lineRule="auto" w:line="276" w:before="0" w:after="200"/>
        <w:ind w:left="567" w:right="0" w:hanging="0"/>
        <w:rPr>
          <w:rFonts w:ascii="Arial" w:hAnsi="Arial" w:cs="Arial"/>
          <w:sz w:val="22"/>
          <w:szCs w:val="22"/>
        </w:rPr>
      </w:pPr>
      <w:r>
        <w:rPr>
          <w:rFonts w:cs="Arial" w:ascii="Arial" w:hAnsi="Arial"/>
          <w:sz w:val="22"/>
          <w:szCs w:val="22"/>
        </w:rPr>
        <w:t>“</w:t>
      </w:r>
      <w:r>
        <w:rPr>
          <w:rFonts w:cs="Arial" w:ascii="Arial" w:hAnsi="Arial"/>
          <w:sz w:val="22"/>
          <w:szCs w:val="22"/>
        </w:rPr>
        <w:t>The chairman of this meeting does not believe that the minutes of the meeting of the (   ) held on [date] in respect of (   ) were a correct record but his view was not upheld by the meeting and the minutes are confirmed as an accurate record of the proceedings.”</w:t>
      </w:r>
    </w:p>
    <w:p>
      <w:pPr>
        <w:pStyle w:val="Normal"/>
        <w:spacing w:lineRule="auto" w:line="276" w:before="0" w:after="200"/>
        <w:ind w:left="567" w:right="0" w:hanging="567"/>
        <w:rPr>
          <w:rFonts w:ascii="Arial" w:hAnsi="Arial" w:cs="Arial"/>
          <w:sz w:val="22"/>
          <w:szCs w:val="22"/>
        </w:rPr>
      </w:pPr>
      <w:r>
        <w:rPr>
          <w:rFonts w:cs="Arial" w:ascii="Arial" w:hAnsi="Arial"/>
          <w:sz w:val="22"/>
          <w:szCs w:val="22"/>
        </w:rPr>
        <w:t>e</w:t>
        <w:tab/>
        <w:t>Subject to standing order 20(a) and following a resolution which confirms the accuracy of the minutes of a meeting, the draft minutes or recordings of the meeting for which approved minutes exist shall be destroyed.</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Normal"/>
        <w:spacing w:before="0" w:after="200"/>
        <w:rPr>
          <w:rFonts w:ascii="Arial" w:hAnsi="Arial" w:cs="Arial"/>
          <w:b/>
          <w:b/>
          <w:bCs/>
          <w:color w:val="000000"/>
          <w:sz w:val="22"/>
          <w:szCs w:val="22"/>
        </w:rPr>
      </w:pPr>
      <w:bookmarkStart w:id="127" w:name="Bookmark15"/>
      <w:bookmarkStart w:id="128" w:name="_Toc359318567"/>
      <w:bookmarkStart w:id="129" w:name="_Toc359334518"/>
      <w:bookmarkStart w:id="130" w:name="_Toc359334797"/>
      <w:bookmarkStart w:id="131" w:name="Bookmark15"/>
      <w:bookmarkStart w:id="132" w:name="_Toc359318567"/>
      <w:bookmarkStart w:id="133" w:name="_Toc359334518"/>
      <w:bookmarkStart w:id="134" w:name="_Toc359334797"/>
      <w:r>
        <w:rPr>
          <w:rFonts w:cs="Arial" w:ascii="Arial" w:hAnsi="Arial"/>
          <w:b/>
          <w:bCs/>
          <w:color w:val="000000"/>
          <w:sz w:val="22"/>
          <w:szCs w:val="22"/>
        </w:rPr>
      </w:r>
      <w:r>
        <w:br w:type="page"/>
      </w:r>
    </w:p>
    <w:p>
      <w:pPr>
        <w:pStyle w:val="Heading1"/>
        <w:numPr>
          <w:ilvl w:val="0"/>
          <w:numId w:val="1"/>
        </w:numPr>
        <w:spacing w:lineRule="auto" w:line="276" w:before="0" w:after="200"/>
        <w:rPr>
          <w:rFonts w:ascii="Arial" w:hAnsi="Arial" w:cs="Arial"/>
          <w:b/>
          <w:b/>
          <w:szCs w:val="22"/>
        </w:rPr>
      </w:pPr>
      <w:bookmarkStart w:id="135" w:name="_Toc509572269"/>
      <w:bookmarkStart w:id="136" w:name="Bookmark15"/>
      <w:bookmarkStart w:id="137" w:name="_Toc359318567"/>
      <w:bookmarkStart w:id="138" w:name="_Toc359334518"/>
      <w:bookmarkStart w:id="139" w:name="_Toc359334797"/>
      <w:bookmarkStart w:id="140" w:name="_Toc359336499"/>
      <w:bookmarkStart w:id="141" w:name="__RefHeading__1852_1299669005"/>
      <w:bookmarkStart w:id="142" w:name="_Toc509572270"/>
      <w:bookmarkEnd w:id="141"/>
      <w:bookmarkEnd w:id="135"/>
      <w:bookmarkEnd w:id="136"/>
      <w:bookmarkEnd w:id="137"/>
      <w:bookmarkEnd w:id="138"/>
      <w:bookmarkEnd w:id="139"/>
      <w:bookmarkEnd w:id="140"/>
      <w:r>
        <w:rPr>
          <w:rFonts w:cs="Arial" w:ascii="Arial" w:hAnsi="Arial"/>
          <w:b/>
          <w:szCs w:val="22"/>
        </w:rPr>
        <w:t>CODE OF CONDUCT AND DISPENSATIONS</w:t>
      </w:r>
    </w:p>
    <w:p>
      <w:pPr>
        <w:pStyle w:val="Normal"/>
        <w:spacing w:before="0" w:after="200"/>
        <w:ind w:left="131" w:right="0" w:firstLine="720"/>
        <w:rPr/>
      </w:pPr>
      <w:r>
        <w:rPr>
          <w:rStyle w:val="Emphasis"/>
          <w:rFonts w:cs="Arial" w:ascii="Arial" w:hAnsi="Arial"/>
          <w:sz w:val="22"/>
          <w:szCs w:val="22"/>
        </w:rPr>
        <w:t>See also standing order 3(</w:t>
      </w:r>
      <w:bookmarkEnd w:id="142"/>
      <w:r>
        <w:rPr>
          <w:rStyle w:val="Emphasis"/>
          <w:rFonts w:cs="Arial" w:ascii="Arial" w:hAnsi="Arial"/>
          <w:sz w:val="22"/>
          <w:szCs w:val="22"/>
        </w:rPr>
        <w:t xml:space="preserve">s). </w:t>
      </w:r>
    </w:p>
    <w:p>
      <w:pPr>
        <w:pStyle w:val="Normal"/>
        <w:spacing w:before="0" w:after="200"/>
        <w:ind w:left="131" w:right="0" w:firstLine="720"/>
        <w:rPr>
          <w:rStyle w:val="Emphasis"/>
          <w:rFonts w:ascii="Arial" w:hAnsi="Arial" w:cs="Arial"/>
          <w:b/>
          <w:b/>
          <w:color w:val="000000"/>
          <w:szCs w:val="22"/>
          <w:lang w:bidi="en-US"/>
        </w:rPr>
      </w:pPr>
      <w:r>
        <w:rPr/>
      </w:r>
    </w:p>
    <w:p>
      <w:pPr>
        <w:pStyle w:val="Normal"/>
        <w:widowControl w:val="false"/>
        <w:numPr>
          <w:ilvl w:val="0"/>
          <w:numId w:val="7"/>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Councillors and non-councillors with voting rights shall observe the code of conduct adopted by the Council.</w:t>
      </w:r>
    </w:p>
    <w:p>
      <w:pPr>
        <w:pStyle w:val="Normal"/>
        <w:widowControl w:val="false"/>
        <w:numPr>
          <w:ilvl w:val="0"/>
          <w:numId w:val="7"/>
        </w:numPr>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All councillors and non-councillors with voting rights shall undertake training in the code of conduct within six months of the delivery of their acceptance of office form.</w:t>
      </w:r>
    </w:p>
    <w:p>
      <w:pPr>
        <w:pStyle w:val="ListParagraph"/>
        <w:widowControl w:val="false"/>
        <w:numPr>
          <w:ilvl w:val="0"/>
          <w:numId w:val="7"/>
        </w:numPr>
        <w:suppressAutoHyphens w:val="true"/>
        <w:spacing w:lineRule="auto" w:line="276" w:before="0" w:after="200"/>
        <w:ind w:left="567" w:right="0" w:hanging="0"/>
        <w:rPr/>
      </w:pPr>
      <w:r>
        <w:rPr>
          <w:rFonts w:cs="Arial" w:ascii="Arial" w:hAnsi="Arial"/>
          <w:b/>
          <w:color w:val="000000"/>
          <w:sz w:val="22"/>
          <w:szCs w:val="22"/>
          <w:lang w:bidi="en-US"/>
        </w:rPr>
        <w:t xml:space="preserve">Dispensation requests shall be in writing and submitted to the standards committee of the </w:t>
      </w:r>
      <w:r>
        <w:rPr>
          <w:rFonts w:cs="Arial" w:ascii="Arial" w:hAnsi="Arial"/>
          <w:color w:val="000000"/>
          <w:sz w:val="22"/>
          <w:szCs w:val="22"/>
          <w:lang w:bidi="en-US"/>
        </w:rPr>
        <w:t>[</w:t>
      </w:r>
      <w:r>
        <w:rPr>
          <w:rFonts w:cs="Arial" w:ascii="Arial" w:hAnsi="Arial"/>
          <w:b/>
          <w:color w:val="000000"/>
          <w:sz w:val="22"/>
          <w:szCs w:val="22"/>
          <w:lang w:bidi="en-US"/>
        </w:rPr>
        <w:t>County Borough</w:t>
      </w:r>
      <w:r>
        <w:rPr>
          <w:rFonts w:cs="Arial" w:ascii="Arial" w:hAnsi="Arial"/>
          <w:color w:val="000000"/>
          <w:sz w:val="22"/>
          <w:szCs w:val="22"/>
          <w:lang w:bidi="en-US"/>
        </w:rPr>
        <w:t>]</w:t>
      </w:r>
      <w:r>
        <w:rPr>
          <w:rFonts w:cs="Arial" w:ascii="Arial" w:hAnsi="Arial"/>
          <w:b/>
          <w:color w:val="000000"/>
          <w:sz w:val="22"/>
          <w:szCs w:val="22"/>
          <w:lang w:bidi="en-US"/>
        </w:rPr>
        <w:t xml:space="preserve"> </w:t>
      </w:r>
      <w:r>
        <w:rPr>
          <w:rFonts w:cs="Arial" w:ascii="Arial" w:hAnsi="Arial"/>
          <w:color w:val="000000"/>
          <w:sz w:val="22"/>
          <w:szCs w:val="22"/>
          <w:lang w:bidi="en-US"/>
        </w:rPr>
        <w:t>OR</w:t>
      </w:r>
      <w:r>
        <w:rPr>
          <w:rFonts w:cs="Arial" w:ascii="Arial" w:hAnsi="Arial"/>
          <w:b/>
          <w:color w:val="000000"/>
          <w:sz w:val="22"/>
          <w:szCs w:val="22"/>
          <w:lang w:bidi="en-US"/>
        </w:rPr>
        <w:t xml:space="preserve"> </w:t>
      </w:r>
      <w:r>
        <w:rPr>
          <w:rFonts w:cs="Arial" w:ascii="Arial" w:hAnsi="Arial"/>
          <w:color w:val="000000"/>
          <w:sz w:val="22"/>
          <w:szCs w:val="22"/>
          <w:lang w:bidi="en-US"/>
        </w:rPr>
        <w:t>[</w:t>
      </w:r>
      <w:r>
        <w:rPr>
          <w:rFonts w:cs="Arial" w:ascii="Arial" w:hAnsi="Arial"/>
          <w:b/>
          <w:color w:val="000000"/>
          <w:sz w:val="22"/>
          <w:szCs w:val="22"/>
          <w:lang w:bidi="en-US"/>
        </w:rPr>
        <w:t>County Council</w:t>
      </w:r>
      <w:r>
        <w:rPr>
          <w:rFonts w:cs="Arial" w:ascii="Arial" w:hAnsi="Arial"/>
          <w:color w:val="000000"/>
          <w:sz w:val="22"/>
          <w:szCs w:val="22"/>
          <w:lang w:bidi="en-US"/>
        </w:rPr>
        <w:t>]</w:t>
      </w:r>
      <w:r>
        <w:rPr>
          <w:rFonts w:cs="Arial" w:ascii="Arial" w:hAnsi="Arial"/>
          <w:b/>
          <w:color w:val="000000"/>
          <w:sz w:val="22"/>
          <w:szCs w:val="22"/>
          <w:lang w:bidi="en-US"/>
        </w:rPr>
        <w:t xml:space="preserve"> </w:t>
      </w:r>
      <w:r>
        <w:rPr>
          <w:rFonts w:cs="Arial" w:ascii="Arial" w:hAnsi="Arial"/>
          <w:color w:val="000000"/>
          <w:sz w:val="22"/>
          <w:szCs w:val="22"/>
          <w:lang w:bidi="en-US"/>
        </w:rPr>
        <w:t>as soon as possible before the meeting that the dispensation is required for.</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pPr>
      <w:bookmarkStart w:id="143" w:name="_Toc357072143"/>
      <w:bookmarkStart w:id="144" w:name="_Toc357072150"/>
      <w:bookmarkStart w:id="145" w:name="_Toc509572271"/>
      <w:bookmarkStart w:id="146" w:name="__RefHeading__1854_1299669005"/>
      <w:bookmarkStart w:id="147" w:name="_Toc359336500"/>
      <w:bookmarkStart w:id="148" w:name="_Toc359318569"/>
      <w:bookmarkStart w:id="149" w:name="_Toc359334520"/>
      <w:bookmarkStart w:id="150" w:name="_Toc359334799"/>
      <w:bookmarkStart w:id="151" w:name="_Toc359336501"/>
      <w:bookmarkStart w:id="152" w:name="Bookmark16"/>
      <w:bookmarkStart w:id="153" w:name="_Toc359334519"/>
      <w:bookmarkStart w:id="154" w:name="_Toc359334798"/>
      <w:bookmarkEnd w:id="143"/>
      <w:bookmarkEnd w:id="146"/>
      <w:bookmarkEnd w:id="152"/>
      <w:bookmarkEnd w:id="153"/>
      <w:bookmarkEnd w:id="154"/>
      <w:r>
        <w:rPr>
          <w:rFonts w:cs="Arial" w:ascii="Arial" w:hAnsi="Arial"/>
          <w:b/>
        </w:rPr>
        <w:t>CODE OF CONDUCT COMPLAINTS</w:t>
      </w:r>
      <w:bookmarkEnd w:id="147"/>
      <w:bookmarkEnd w:id="148"/>
      <w:bookmarkEnd w:id="149"/>
      <w:bookmarkEnd w:id="150"/>
      <w:bookmarkEnd w:id="151"/>
      <w:bookmarkEnd w:id="145"/>
      <w:r>
        <w:rPr>
          <w:rFonts w:cs="Arial" w:ascii="Arial" w:hAnsi="Arial"/>
          <w:b/>
        </w:rPr>
        <w:t xml:space="preserve"> </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23"/>
        </w:numPr>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Upon notification by the [County Borough] OR [County Council] that it is dealing with a complaint that a councillor or non-councillor with voting rights has breached the Council’s code of conduct, the Proper Officer shall, subject to standing order 11, report this to the Council.</w:t>
      </w:r>
    </w:p>
    <w:p>
      <w:pPr>
        <w:pStyle w:val="Normal"/>
        <w:widowControl w:val="false"/>
        <w:numPr>
          <w:ilvl w:val="0"/>
          <w:numId w:val="23"/>
        </w:numPr>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w:t>
      </w:r>
    </w:p>
    <w:p>
      <w:pPr>
        <w:pStyle w:val="Normal"/>
        <w:widowControl w:val="false"/>
        <w:numPr>
          <w:ilvl w:val="0"/>
          <w:numId w:val="23"/>
        </w:numPr>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The Council may:</w:t>
      </w:r>
    </w:p>
    <w:p>
      <w:pPr>
        <w:pStyle w:val="Normal"/>
        <w:widowControl w:val="false"/>
        <w:numPr>
          <w:ilvl w:val="1"/>
          <w:numId w:val="24"/>
        </w:numPr>
        <w:suppressAutoHyphens w:val="true"/>
        <w:spacing w:lineRule="auto" w:line="276" w:before="0" w:after="200"/>
        <w:ind w:left="1134" w:right="0" w:hanging="0"/>
        <w:rPr/>
      </w:pPr>
      <w:r>
        <w:rPr>
          <w:rFonts w:cs="Arial" w:ascii="Arial" w:hAnsi="Arial"/>
          <w:sz w:val="22"/>
          <w:szCs w:val="22"/>
        </w:rPr>
        <w:t xml:space="preserve">provide information or evidence </w:t>
      </w:r>
      <w:r>
        <w:rPr>
          <w:rFonts w:cs="Arial" w:ascii="Arial" w:hAnsi="Arial"/>
          <w:color w:val="000000"/>
          <w:sz w:val="22"/>
          <w:szCs w:val="22"/>
          <w:lang w:bidi="en-US"/>
        </w:rPr>
        <w:t>where such disclosure is necessary to investigate the complaint or is a legal requirement;</w:t>
      </w:r>
    </w:p>
    <w:p>
      <w:pPr>
        <w:pStyle w:val="Normal"/>
        <w:widowControl w:val="false"/>
        <w:numPr>
          <w:ilvl w:val="1"/>
          <w:numId w:val="24"/>
        </w:numPr>
        <w:suppressAutoHyphens w:val="true"/>
        <w:spacing w:lineRule="auto" w:line="276" w:before="0" w:after="200"/>
        <w:ind w:left="1134" w:right="0" w:hanging="0"/>
        <w:rPr/>
      </w:pPr>
      <w:r>
        <w:rPr>
          <w:rFonts w:cs="Arial" w:ascii="Arial" w:hAnsi="Arial"/>
          <w:color w:val="000000"/>
          <w:sz w:val="22"/>
          <w:szCs w:val="22"/>
          <w:lang w:bidi="en-US"/>
        </w:rPr>
        <w:t>seek information relevant to the complaint</w:t>
      </w:r>
      <w:r>
        <w:rPr>
          <w:rFonts w:cs="Arial" w:ascii="Arial" w:hAnsi="Arial"/>
          <w:sz w:val="22"/>
          <w:szCs w:val="22"/>
        </w:rPr>
        <w:t xml:space="preserve"> </w:t>
      </w:r>
      <w:r>
        <w:rPr>
          <w:rFonts w:cs="Arial" w:ascii="Arial" w:hAnsi="Arial"/>
          <w:color w:val="000000"/>
          <w:sz w:val="22"/>
          <w:szCs w:val="22"/>
          <w:lang w:bidi="en-US"/>
        </w:rPr>
        <w:t>from the person or body with statutory responsibility for investigation of the matter;</w:t>
      </w:r>
    </w:p>
    <w:p>
      <w:pPr>
        <w:pStyle w:val="Normal"/>
        <w:widowControl w:val="false"/>
        <w:numPr>
          <w:ilvl w:val="1"/>
          <w:numId w:val="24"/>
        </w:numPr>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indemnify the councillor or non-councillor with voting rights in respect of his related legal costs and any such indemnity is subject to approval by a meeting of the Council.</w:t>
      </w:r>
    </w:p>
    <w:p>
      <w:pPr>
        <w:pStyle w:val="ListParagraph"/>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spacing w:before="0" w:after="200"/>
        <w:rPr>
          <w:rFonts w:ascii="Arial" w:hAnsi="Arial" w:cs="Arial"/>
          <w:b/>
          <w:b/>
          <w:bCs/>
          <w:color w:val="000000"/>
          <w:sz w:val="22"/>
          <w:szCs w:val="22"/>
          <w:lang w:bidi="en-US"/>
        </w:rPr>
      </w:pPr>
      <w:bookmarkStart w:id="155" w:name="Bookmark17"/>
      <w:bookmarkStart w:id="156" w:name="_Toc359318570"/>
      <w:bookmarkStart w:id="157" w:name="_Toc359334521"/>
      <w:bookmarkStart w:id="158" w:name="_Toc359334800"/>
      <w:bookmarkStart w:id="159" w:name="Bookmark17"/>
      <w:bookmarkStart w:id="160" w:name="_Toc359318570"/>
      <w:bookmarkStart w:id="161" w:name="_Toc359334521"/>
      <w:bookmarkStart w:id="162" w:name="_Toc359334800"/>
      <w:r>
        <w:rPr>
          <w:rFonts w:cs="Arial" w:ascii="Arial" w:hAnsi="Arial"/>
          <w:b/>
          <w:bCs/>
          <w:color w:val="000000"/>
          <w:sz w:val="22"/>
          <w:szCs w:val="22"/>
          <w:lang w:bidi="en-US"/>
        </w:rPr>
      </w:r>
      <w:r>
        <w:br w:type="page"/>
      </w:r>
    </w:p>
    <w:p>
      <w:pPr>
        <w:pStyle w:val="Heading1"/>
        <w:numPr>
          <w:ilvl w:val="0"/>
          <w:numId w:val="1"/>
        </w:numPr>
        <w:spacing w:lineRule="auto" w:line="276" w:before="0" w:after="200"/>
        <w:rPr/>
      </w:pPr>
      <w:bookmarkStart w:id="163" w:name="_Toc357072150"/>
      <w:bookmarkStart w:id="164" w:name="Bookmark17"/>
      <w:bookmarkStart w:id="165" w:name="_Toc359318570"/>
      <w:bookmarkStart w:id="166" w:name="_Toc359334521"/>
      <w:bookmarkStart w:id="167" w:name="_Toc359334800"/>
      <w:bookmarkStart w:id="168" w:name="__RefHeading__1856_1299669005"/>
      <w:bookmarkStart w:id="169" w:name="_Toc359336502"/>
      <w:bookmarkEnd w:id="168"/>
      <w:r>
        <w:rPr>
          <w:rFonts w:cs="Arial" w:ascii="Arial" w:hAnsi="Arial"/>
          <w:b/>
          <w:szCs w:val="22"/>
          <w:lang w:bidi="en-US"/>
        </w:rPr>
        <w:t>PROPER OFFICER</w:t>
      </w:r>
      <w:bookmarkEnd w:id="163"/>
      <w:bookmarkEnd w:id="164"/>
      <w:bookmarkEnd w:id="165"/>
      <w:bookmarkEnd w:id="166"/>
      <w:bookmarkEnd w:id="167"/>
      <w:bookmarkEnd w:id="169"/>
      <w:r>
        <w:rPr>
          <w:rFonts w:cs="Arial" w:ascii="Arial" w:hAnsi="Arial"/>
          <w:b/>
          <w:szCs w:val="22"/>
          <w:lang w:bidi="en-US"/>
        </w:rPr>
        <w:t xml:space="preserve"> </w:t>
      </w:r>
    </w:p>
    <w:p>
      <w:pPr>
        <w:pStyle w:val="Normal"/>
        <w:spacing w:lineRule="auto" w:line="276" w:before="0" w:after="200"/>
        <w:rPr>
          <w:rFonts w:ascii="Arial" w:hAnsi="Arial" w:cs="Arial"/>
          <w:sz w:val="22"/>
          <w:szCs w:val="22"/>
          <w:lang w:bidi="en-US"/>
        </w:rPr>
      </w:pPr>
      <w:r>
        <w:rPr>
          <w:rFonts w:cs="Arial" w:ascii="Arial" w:hAnsi="Arial"/>
          <w:sz w:val="22"/>
          <w:szCs w:val="22"/>
          <w:lang w:bidi="en-US"/>
        </w:rPr>
      </w:r>
    </w:p>
    <w:p>
      <w:pPr>
        <w:pStyle w:val="Normal"/>
        <w:widowControl w:val="false"/>
        <w:numPr>
          <w:ilvl w:val="0"/>
          <w:numId w:val="25"/>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The Proper Officer shall be either (i) the clerk or (ii) other staff member(s) nominated by the Council to undertake the work of the Proper Officer when the Proper Officer is absent. </w:t>
      </w:r>
    </w:p>
    <w:p>
      <w:pPr>
        <w:pStyle w:val="Normal"/>
        <w:widowControl w:val="false"/>
        <w:numPr>
          <w:ilvl w:val="0"/>
          <w:numId w:val="25"/>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The Proper Officer shall:</w:t>
      </w:r>
    </w:p>
    <w:p>
      <w:pPr>
        <w:pStyle w:val="Normal"/>
        <w:widowControl w:val="false"/>
        <w:numPr>
          <w:ilvl w:val="1"/>
          <w:numId w:val="25"/>
        </w:numPr>
        <w:tabs>
          <w:tab w:val="left" w:pos="1134" w:leader="none"/>
        </w:tabs>
        <w:suppressAutoHyphens w:val="true"/>
        <w:spacing w:lineRule="auto" w:line="276" w:before="0" w:after="200"/>
        <w:ind w:left="1134" w:right="0" w:hanging="0"/>
        <w:rPr/>
      </w:pPr>
      <w:r>
        <w:rPr>
          <w:rFonts w:cs="Arial" w:ascii="Arial" w:hAnsi="Arial"/>
          <w:b/>
          <w:bCs/>
          <w:color w:val="000000"/>
          <w:sz w:val="22"/>
          <w:szCs w:val="22"/>
          <w:lang w:bidi="en-US"/>
        </w:rPr>
        <w:t xml:space="preserve">at least three clear days before a meeting of the council, a committee </w:t>
      </w:r>
      <w:r>
        <w:rPr>
          <w:rFonts w:cs="Arial" w:ascii="Arial" w:hAnsi="Arial"/>
          <w:bCs/>
          <w:color w:val="000000"/>
          <w:sz w:val="22"/>
          <w:szCs w:val="22"/>
          <w:lang w:bidi="en-US"/>
        </w:rPr>
        <w:t>or a sub-committee:</w:t>
      </w:r>
    </w:p>
    <w:p>
      <w:pPr>
        <w:pStyle w:val="ListParagraph"/>
        <w:widowControl w:val="false"/>
        <w:numPr>
          <w:ilvl w:val="0"/>
          <w:numId w:val="33"/>
        </w:numPr>
        <w:suppressAutoHyphens w:val="tru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t>serve on councillors by delivery or post at their residences a signed summons confirming the time, place and the agenda; and</w:t>
      </w:r>
    </w:p>
    <w:p>
      <w:pPr>
        <w:pStyle w:val="ListParagraph"/>
        <w:widowControl w:val="false"/>
        <w:numPr>
          <w:ilvl w:val="0"/>
          <w:numId w:val="33"/>
        </w:numPr>
        <w:suppressAutoHyphens w:val="true"/>
        <w:spacing w:lineRule="auto" w:line="276" w:before="0" w:after="200"/>
        <w:rPr/>
      </w:pPr>
      <w:r>
        <w:rPr>
          <w:rFonts w:cs="Arial" w:ascii="Arial" w:hAnsi="Arial"/>
          <w:b/>
          <w:bCs/>
          <w:color w:val="000000"/>
          <w:sz w:val="22"/>
          <w:szCs w:val="22"/>
          <w:lang w:bidi="en-US"/>
        </w:rPr>
        <w:t xml:space="preserve">provide, in a conspicuous place, public notice of the time, place and agenda (provided that the public notice with agenda of an extraordinary meeting of the Council convened by councillors is signed by them) and publish electronically notice of the time and place and, as far as reasonably practicable, any documents relating to the business to be transacted at the meeting </w:t>
      </w:r>
      <w:r>
        <w:rPr>
          <w:rFonts w:cs="Arial" w:ascii="Arial" w:hAnsi="Arial"/>
          <w:b/>
          <w:bCs/>
          <w:sz w:val="22"/>
          <w:szCs w:val="22"/>
        </w:rPr>
        <w:t>unless they relate to business which is likely to be considered in private or if their disclosure would be contrary to any enactment</w:t>
      </w:r>
      <w:r>
        <w:rPr>
          <w:rFonts w:cs="Arial" w:ascii="Arial" w:hAnsi="Arial"/>
          <w:b/>
          <w:bCs/>
          <w:color w:val="000000"/>
          <w:sz w:val="22"/>
          <w:szCs w:val="22"/>
          <w:lang w:bidi="en-US"/>
        </w:rPr>
        <w:t>.</w:t>
      </w:r>
    </w:p>
    <w:p>
      <w:pPr>
        <w:pStyle w:val="Normal"/>
        <w:widowControl w:val="false"/>
        <w:suppressAutoHyphens w:val="true"/>
        <w:spacing w:lineRule="auto" w:line="276" w:before="0" w:after="200"/>
        <w:ind w:left="1134" w:right="0" w:hanging="0"/>
        <w:rPr>
          <w:rFonts w:ascii="Arial" w:hAnsi="Arial" w:cs="Arial"/>
          <w:i/>
          <w:i/>
          <w:color w:val="000000"/>
          <w:sz w:val="22"/>
          <w:szCs w:val="22"/>
          <w:lang w:bidi="en-US"/>
        </w:rPr>
      </w:pPr>
      <w:r>
        <w:rPr>
          <w:rFonts w:cs="Arial" w:ascii="Arial" w:hAnsi="Arial"/>
          <w:i/>
          <w:color w:val="000000"/>
          <w:sz w:val="22"/>
          <w:szCs w:val="22"/>
          <w:lang w:bidi="en-US"/>
        </w:rPr>
        <w:t>See standing order 3(b) for the meaning of clear days for a meeting of a full council and standing order 3(c) for the meaning of clear days for a meeting of a committee;</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subject to standing order 9, include on the agenda all motions in the order received unless a councillor has given written notice at least (  ) days before the meeting confirming his withdrawal of it;</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b/>
          <w:b/>
          <w:bCs/>
          <w:color w:val="000000"/>
          <w:sz w:val="22"/>
          <w:szCs w:val="22"/>
          <w:lang w:bidi="en-US"/>
        </w:rPr>
      </w:pPr>
      <w:r>
        <w:rPr>
          <w:rFonts w:cs="Arial" w:ascii="Arial" w:hAnsi="Arial"/>
          <w:b/>
          <w:bCs/>
          <w:color w:val="000000"/>
          <w:sz w:val="22"/>
          <w:szCs w:val="22"/>
          <w:lang w:bidi="en-US"/>
        </w:rPr>
        <w:t>convene a meeting of Council for the election of a new Chairman of the Council, occasioned by a casual vacancy in his office;</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b/>
          <w:b/>
          <w:color w:val="000000"/>
          <w:sz w:val="22"/>
          <w:szCs w:val="22"/>
          <w:lang w:bidi="en-US"/>
        </w:rPr>
      </w:pPr>
      <w:r>
        <w:rPr>
          <w:rFonts w:cs="Arial" w:ascii="Arial" w:hAnsi="Arial"/>
          <w:b/>
          <w:color w:val="000000"/>
          <w:sz w:val="22"/>
          <w:szCs w:val="22"/>
          <w:lang w:bidi="en-US"/>
        </w:rPr>
        <w:t>facilitate inspection of the minute book by local government electors;</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b/>
          <w:b/>
          <w:bCs/>
          <w:color w:val="000000"/>
          <w:sz w:val="22"/>
          <w:szCs w:val="22"/>
          <w:lang w:bidi="en-US"/>
        </w:rPr>
      </w:pPr>
      <w:r>
        <w:rPr>
          <w:rFonts w:cs="Arial" w:ascii="Arial" w:hAnsi="Arial"/>
          <w:b/>
          <w:bCs/>
          <w:color w:val="000000"/>
          <w:sz w:val="22"/>
          <w:szCs w:val="22"/>
          <w:lang w:bidi="en-US"/>
        </w:rPr>
        <w:t>receive and retain copies of byelaws made by other local authorities;</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bCs/>
          <w:color w:val="000000"/>
          <w:sz w:val="22"/>
          <w:szCs w:val="22"/>
          <w:lang w:bidi="en-US"/>
        </w:rPr>
      </w:pPr>
      <w:r>
        <w:rPr>
          <w:rFonts w:cs="Arial" w:ascii="Arial" w:hAnsi="Arial"/>
          <w:bCs/>
          <w:color w:val="000000"/>
          <w:sz w:val="22"/>
          <w:szCs w:val="22"/>
          <w:lang w:bidi="en-US"/>
        </w:rPr>
        <w:t>hold acceptance of office forms from councillors;</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hold a copy of every councillor’s register of interests;</w:t>
      </w:r>
    </w:p>
    <w:p>
      <w:pPr>
        <w:pStyle w:val="Normal"/>
        <w:widowControl w:val="false"/>
        <w:numPr>
          <w:ilvl w:val="1"/>
          <w:numId w:val="25"/>
        </w:numPr>
        <w:tabs>
          <w:tab w:val="left" w:pos="1134" w:leader="none"/>
          <w:tab w:val="left" w:pos="3422"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pPr>
        <w:pStyle w:val="Normal"/>
        <w:widowControl w:val="false"/>
        <w:numPr>
          <w:ilvl w:val="1"/>
          <w:numId w:val="25"/>
        </w:numPr>
        <w:tabs>
          <w:tab w:val="left" w:pos="1134" w:leader="none"/>
          <w:tab w:val="left" w:pos="3422"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liaise, as appropriate, with the Council’s Data Protection Officer; </w:t>
      </w:r>
    </w:p>
    <w:p>
      <w:pPr>
        <w:pStyle w:val="Normal"/>
        <w:spacing w:before="0" w:after="200"/>
        <w:rPr>
          <w:rFonts w:ascii="Arial" w:hAnsi="Arial" w:cs="Arial"/>
          <w:color w:val="000000"/>
          <w:sz w:val="22"/>
          <w:szCs w:val="22"/>
          <w:lang w:bidi="en-US"/>
        </w:rPr>
      </w:pPr>
      <w:r>
        <w:rPr>
          <w:rFonts w:cs="Arial" w:ascii="Arial" w:hAnsi="Arial"/>
          <w:color w:val="000000"/>
          <w:sz w:val="22"/>
          <w:szCs w:val="22"/>
          <w:lang w:bidi="en-US"/>
        </w:rPr>
      </w:r>
      <w:r>
        <w:br w:type="page"/>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receive and send general correspondence and notices on behalf of the Council except where there is a resolution to the contrary;</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arrange for legal deeds to be executed; </w:t>
      </w:r>
    </w:p>
    <w:p>
      <w:pPr>
        <w:pStyle w:val="Normal"/>
        <w:widowControl w:val="false"/>
        <w:suppressAutoHyphens w:val="true"/>
        <w:spacing w:lineRule="auto" w:line="276" w:before="0" w:after="200"/>
        <w:ind w:left="1134" w:right="0" w:hanging="0"/>
        <w:rPr>
          <w:rFonts w:ascii="Arial" w:hAnsi="Arial" w:cs="Arial"/>
          <w:i/>
          <w:i/>
          <w:iCs/>
          <w:color w:val="000000"/>
          <w:sz w:val="22"/>
          <w:szCs w:val="22"/>
          <w:lang w:bidi="en-US"/>
        </w:rPr>
      </w:pPr>
      <w:r>
        <w:rPr>
          <w:rFonts w:cs="Arial" w:ascii="Arial" w:hAnsi="Arial"/>
          <w:i/>
          <w:iCs/>
          <w:color w:val="000000"/>
          <w:sz w:val="22"/>
          <w:szCs w:val="22"/>
          <w:lang w:bidi="en-US"/>
        </w:rPr>
        <w:t>See also standing order 23;</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arrange or manage the prompt authorisation, approval, and instruction regarding any payments to be made by the Council in accordance with its financial regulations;</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record every planning application notified to the Council and the Council’s response to the local planning authority in a book for such purpose;</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refer a planning application received by the Council to the [Chairman or in his absence the Vice-Chairman (if there is one) of the Council] OR [Chairman or in his absence Vice-Chairman (if there is one) of the (   ) Committee] within two working days of receipt to facilitate an extraordinary meeting if the nature of a planning application requires consideration before the next ordinary meeting of [the Council] OR [(   ) committee];</w:t>
      </w:r>
    </w:p>
    <w:p>
      <w:pPr>
        <w:pStyle w:val="Normal"/>
        <w:widowControl w:val="false"/>
        <w:numPr>
          <w:ilvl w:val="1"/>
          <w:numId w:val="25"/>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manage access to information about the Council via the publication scheme; and</w:t>
      </w:r>
    </w:p>
    <w:p>
      <w:pPr>
        <w:pStyle w:val="Normal"/>
        <w:widowControl w:val="false"/>
        <w:numPr>
          <w:ilvl w:val="1"/>
          <w:numId w:val="25"/>
        </w:numPr>
        <w:tabs>
          <w:tab w:val="left" w:pos="1134" w:leader="none"/>
        </w:tabs>
        <w:suppressAutoHyphens w:val="true"/>
        <w:spacing w:lineRule="auto" w:line="276"/>
        <w:ind w:left="1134" w:right="0" w:hanging="0"/>
        <w:rPr>
          <w:rFonts w:ascii="Arial" w:hAnsi="Arial" w:cs="Arial"/>
          <w:color w:val="000000"/>
          <w:sz w:val="22"/>
          <w:szCs w:val="22"/>
          <w:lang w:bidi="en-US"/>
        </w:rPr>
      </w:pPr>
      <w:r>
        <w:rPr>
          <w:rFonts w:cs="Arial" w:ascii="Arial" w:hAnsi="Arial"/>
          <w:color w:val="000000"/>
          <w:sz w:val="22"/>
          <w:szCs w:val="22"/>
          <w:lang w:bidi="en-US"/>
        </w:rPr>
        <w:t xml:space="preserve">retain custody of the seal of the Council (if there is one) which shall not be used without a resolution to that effect. </w:t>
      </w:r>
    </w:p>
    <w:p>
      <w:pPr>
        <w:pStyle w:val="Normal"/>
        <w:widowControl w:val="false"/>
        <w:suppressAutoHyphens w:val="true"/>
        <w:spacing w:lineRule="auto" w:line="276" w:before="0" w:after="200"/>
        <w:ind w:left="1134" w:right="0" w:hanging="0"/>
        <w:rPr/>
      </w:pPr>
      <w:r>
        <w:rPr>
          <w:rFonts w:cs="Arial" w:ascii="Arial" w:hAnsi="Arial"/>
          <w:i/>
          <w:color w:val="000000"/>
          <w:sz w:val="22"/>
          <w:szCs w:val="22"/>
          <w:lang w:bidi="en-US"/>
        </w:rPr>
        <w:t xml:space="preserve">See also standing order </w:t>
      </w:r>
      <w:bookmarkStart w:id="170" w:name="Bookmark18"/>
      <w:r>
        <w:rPr>
          <w:rFonts w:cs="Arial" w:ascii="Arial" w:hAnsi="Arial"/>
          <w:i/>
          <w:color w:val="000000"/>
          <w:sz w:val="22"/>
          <w:szCs w:val="22"/>
          <w:lang w:bidi="en-US"/>
        </w:rPr>
        <w:t>23.</w:t>
      </w:r>
    </w:p>
    <w:p>
      <w:pPr>
        <w:pStyle w:val="Normal"/>
        <w:widowControl w:val="false"/>
        <w:suppressAutoHyphens w:val="true"/>
        <w:spacing w:lineRule="auto" w:line="276" w:before="0" w:after="200"/>
        <w:ind w:left="1134" w:right="0" w:hanging="0"/>
        <w:rPr>
          <w:rFonts w:ascii="Arial" w:hAnsi="Arial" w:cs="Arial"/>
          <w:i/>
          <w:i/>
          <w:color w:val="000000"/>
          <w:sz w:val="22"/>
          <w:szCs w:val="22"/>
          <w:lang w:bidi="en-US"/>
        </w:rPr>
      </w:pPr>
      <w:r>
        <w:rPr>
          <w:rFonts w:cs="Arial" w:ascii="Arial" w:hAnsi="Arial"/>
          <w:i/>
          <w:color w:val="000000"/>
          <w:sz w:val="22"/>
          <w:szCs w:val="22"/>
          <w:lang w:bidi="en-US"/>
        </w:rPr>
      </w:r>
    </w:p>
    <w:p>
      <w:pPr>
        <w:pStyle w:val="Heading1"/>
        <w:numPr>
          <w:ilvl w:val="0"/>
          <w:numId w:val="1"/>
        </w:numPr>
        <w:spacing w:lineRule="auto" w:line="276" w:before="0" w:after="200"/>
        <w:rPr/>
      </w:pPr>
      <w:bookmarkStart w:id="171" w:name="__RefHeading__1858_1299669005"/>
      <w:bookmarkStart w:id="172" w:name="_Toc357072144"/>
      <w:bookmarkStart w:id="173" w:name="_Toc359318571"/>
      <w:bookmarkStart w:id="174" w:name="_Toc359334522"/>
      <w:bookmarkStart w:id="175" w:name="_Toc359334801"/>
      <w:bookmarkStart w:id="176" w:name="_Toc359336503"/>
      <w:bookmarkEnd w:id="170"/>
      <w:bookmarkEnd w:id="171"/>
      <w:r>
        <w:rPr>
          <w:rFonts w:cs="Arial" w:ascii="Arial" w:hAnsi="Arial"/>
          <w:b/>
          <w:szCs w:val="22"/>
        </w:rPr>
        <w:t>RESPONSIBLE FINANCIAL OFFICER</w:t>
      </w:r>
      <w:bookmarkEnd w:id="172"/>
      <w:bookmarkEnd w:id="173"/>
      <w:bookmarkEnd w:id="174"/>
      <w:bookmarkEnd w:id="175"/>
      <w:bookmarkEnd w:id="176"/>
      <w:r>
        <w:rPr>
          <w:rFonts w:cs="Arial" w:ascii="Arial" w:hAnsi="Arial"/>
          <w:b/>
          <w:szCs w:val="22"/>
        </w:rPr>
        <w:t xml:space="preserve"> </w:t>
      </w:r>
    </w:p>
    <w:p>
      <w:pPr>
        <w:pStyle w:val="Normal"/>
        <w:widowControl w:val="false"/>
        <w:suppressAutoHyphens w:val="true"/>
        <w:spacing w:lineRule="auto" w:line="276" w:before="0" w:after="200"/>
        <w:ind w:left="567" w:right="0" w:hanging="0"/>
        <w:rPr>
          <w:rFonts w:ascii="Arial" w:hAnsi="Arial" w:cs="Arial"/>
          <w:b/>
          <w:b/>
          <w:color w:val="000000"/>
          <w:sz w:val="22"/>
          <w:szCs w:val="22"/>
          <w:lang w:bidi="en-US"/>
        </w:rPr>
      </w:pPr>
      <w:r>
        <w:rPr>
          <w:rFonts w:cs="Arial" w:ascii="Arial" w:hAnsi="Arial"/>
          <w:b/>
          <w:color w:val="000000"/>
          <w:sz w:val="22"/>
          <w:szCs w:val="22"/>
          <w:lang w:bidi="en-US"/>
        </w:rPr>
      </w:r>
    </w:p>
    <w:p>
      <w:pPr>
        <w:pStyle w:val="ListParagraph"/>
        <w:widowControl w:val="false"/>
        <w:numPr>
          <w:ilvl w:val="0"/>
          <w:numId w:val="26"/>
        </w:numPr>
        <w:suppressAutoHyphens w:val="true"/>
        <w:spacing w:lineRule="auto" w:line="276" w:before="0" w:after="200"/>
        <w:ind w:left="567" w:right="0" w:hanging="567"/>
        <w:rPr/>
      </w:pPr>
      <w:r>
        <w:rPr>
          <w:rFonts w:cs="Arial" w:ascii="Arial" w:hAnsi="Arial"/>
          <w:color w:val="000000"/>
          <w:sz w:val="22"/>
          <w:szCs w:val="22"/>
          <w:lang w:bidi="en-US"/>
        </w:rPr>
        <w:t>The Council shall appoint</w:t>
      </w:r>
      <w:r>
        <w:rPr>
          <w:rFonts w:cs="Arial" w:ascii="Arial" w:hAnsi="Arial"/>
          <w:b/>
          <w:color w:val="000000"/>
          <w:sz w:val="22"/>
          <w:szCs w:val="22"/>
          <w:lang w:bidi="en-US"/>
        </w:rPr>
        <w:t xml:space="preserve"> </w:t>
      </w:r>
      <w:r>
        <w:rPr>
          <w:rFonts w:cs="Arial" w:ascii="Arial" w:hAnsi="Arial"/>
          <w:color w:val="000000"/>
          <w:sz w:val="22"/>
          <w:szCs w:val="22"/>
          <w:lang w:bidi="en-US"/>
        </w:rPr>
        <w:t>appropriate staff member(s)</w:t>
      </w:r>
      <w:r>
        <w:rPr>
          <w:rFonts w:cs="Arial" w:ascii="Arial" w:hAnsi="Arial"/>
          <w:sz w:val="22"/>
          <w:szCs w:val="22"/>
        </w:rPr>
        <w:t xml:space="preserve"> </w:t>
      </w:r>
      <w:r>
        <w:rPr>
          <w:rFonts w:cs="Arial" w:ascii="Arial" w:hAnsi="Arial"/>
          <w:color w:val="000000"/>
          <w:sz w:val="22"/>
          <w:szCs w:val="22"/>
          <w:lang w:bidi="en-US"/>
        </w:rPr>
        <w:t>to undertake the work of the Responsible Financial Officer when the Responsible Financial Officer is absent.</w:t>
      </w:r>
    </w:p>
    <w:p>
      <w:pPr>
        <w:pStyle w:val="Normal"/>
        <w:widowControl w:val="false"/>
        <w:spacing w:lineRule="auto" w:line="276" w:before="0" w:after="200"/>
        <w:rPr>
          <w:rFonts w:ascii="Arial" w:hAnsi="Arial" w:cs="Arial"/>
          <w:b/>
          <w:b/>
          <w:bCs/>
          <w:color w:val="000000"/>
          <w:sz w:val="22"/>
          <w:szCs w:val="22"/>
          <w:lang w:bidi="en-US"/>
        </w:rPr>
      </w:pPr>
      <w:r>
        <w:rPr>
          <w:rFonts w:cs="Arial" w:ascii="Arial" w:hAnsi="Arial"/>
          <w:b/>
          <w:bCs/>
          <w:color w:val="000000"/>
          <w:sz w:val="22"/>
          <w:szCs w:val="22"/>
          <w:lang w:bidi="en-US"/>
        </w:rPr>
      </w:r>
    </w:p>
    <w:p>
      <w:pPr>
        <w:pStyle w:val="Normal"/>
        <w:spacing w:before="0" w:after="200"/>
        <w:rPr>
          <w:rFonts w:ascii="Arial" w:hAnsi="Arial" w:cs="Arial"/>
          <w:b/>
          <w:b/>
          <w:bCs/>
          <w:color w:val="000000"/>
          <w:sz w:val="22"/>
          <w:szCs w:val="22"/>
        </w:rPr>
      </w:pPr>
      <w:bookmarkStart w:id="177" w:name="_Toc357072147"/>
      <w:bookmarkStart w:id="178" w:name="_Toc359318572"/>
      <w:bookmarkStart w:id="179" w:name="_Toc359334523"/>
      <w:bookmarkStart w:id="180" w:name="_Toc359334802"/>
      <w:bookmarkStart w:id="181" w:name="Bookmark19"/>
      <w:bookmarkStart w:id="182" w:name="_Toc357072147"/>
      <w:bookmarkStart w:id="183" w:name="_Toc359318572"/>
      <w:bookmarkStart w:id="184" w:name="_Toc359334523"/>
      <w:bookmarkStart w:id="185" w:name="_Toc359334802"/>
      <w:bookmarkStart w:id="186" w:name="Bookmark19"/>
      <w:r>
        <w:rPr>
          <w:rFonts w:cs="Arial" w:ascii="Arial" w:hAnsi="Arial"/>
          <w:b/>
          <w:bCs/>
          <w:color w:val="000000"/>
          <w:sz w:val="22"/>
          <w:szCs w:val="22"/>
        </w:rPr>
      </w:r>
      <w:r>
        <w:br w:type="page"/>
      </w:r>
    </w:p>
    <w:p>
      <w:pPr>
        <w:pStyle w:val="Heading1"/>
        <w:numPr>
          <w:ilvl w:val="0"/>
          <w:numId w:val="1"/>
        </w:numPr>
        <w:spacing w:lineRule="auto" w:line="276" w:before="0" w:after="200"/>
        <w:rPr/>
      </w:pPr>
      <w:bookmarkStart w:id="187" w:name="Bookmark19"/>
      <w:bookmarkStart w:id="188" w:name="_Toc359336504"/>
      <w:bookmarkStart w:id="189" w:name="__RefHeading__1860_1299669005"/>
      <w:bookmarkEnd w:id="189"/>
      <w:r>
        <w:rPr>
          <w:rFonts w:cs="Arial" w:ascii="Arial" w:hAnsi="Arial"/>
          <w:b/>
          <w:szCs w:val="22"/>
        </w:rPr>
        <w:t>ACCOUNTS AND ACCOUNTING STATEMENT</w:t>
      </w:r>
      <w:bookmarkEnd w:id="187"/>
      <w:bookmarkEnd w:id="182"/>
      <w:bookmarkEnd w:id="183"/>
      <w:bookmarkEnd w:id="184"/>
      <w:bookmarkEnd w:id="185"/>
      <w:bookmarkEnd w:id="188"/>
      <w:r>
        <w:rPr>
          <w:rFonts w:cs="Arial" w:ascii="Arial" w:hAnsi="Arial"/>
          <w:b/>
          <w:szCs w:val="22"/>
        </w:rPr>
        <w:t>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ListParagraph"/>
        <w:numPr>
          <w:ilvl w:val="0"/>
          <w:numId w:val="13"/>
        </w:numPr>
        <w:tabs>
          <w:tab w:val="left" w:pos="567" w:leader="none"/>
        </w:tabs>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w:t>
      </w:r>
      <w:r>
        <w:rPr>
          <w:rFonts w:cs="Arial" w:ascii="Arial" w:hAnsi="Arial"/>
          <w:color w:val="000000"/>
          <w:sz w:val="22"/>
          <w:szCs w:val="22"/>
          <w:lang w:bidi="en-US"/>
        </w:rPr>
        <w:t>Proper practices” in standing orders refer to the most recent version of “Governance and Accountability for Local Councils in Wales – A Practitioners’ Guide”.</w:t>
      </w:r>
    </w:p>
    <w:p>
      <w:pPr>
        <w:pStyle w:val="Normal"/>
        <w:widowControl w:val="false"/>
        <w:numPr>
          <w:ilvl w:val="0"/>
          <w:numId w:val="1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All payments by the Council shall be authorised, approved and paid in accordance with the law, proper practices and the Council’s financial regulations. </w:t>
      </w:r>
    </w:p>
    <w:p>
      <w:pPr>
        <w:pStyle w:val="Normal"/>
        <w:widowControl w:val="false"/>
        <w:numPr>
          <w:ilvl w:val="0"/>
          <w:numId w:val="1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The Responsible Financial Officer shall supply to each councillor as soon as practicable after 30 June, 30 September and 31 December in each year a statement to summarise:</w:t>
      </w:r>
    </w:p>
    <w:p>
      <w:pPr>
        <w:pStyle w:val="ListParagraph"/>
        <w:widowControl w:val="false"/>
        <w:numPr>
          <w:ilvl w:val="2"/>
          <w:numId w:val="20"/>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the Council’s receipts and payments (or income and expenditure) for each quarter; </w:t>
      </w:r>
    </w:p>
    <w:p>
      <w:pPr>
        <w:pStyle w:val="ListParagraph"/>
        <w:widowControl w:val="false"/>
        <w:numPr>
          <w:ilvl w:val="2"/>
          <w:numId w:val="20"/>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the Council’s aggregate receipts and payments (or income and expenditure) for the year to date;</w:t>
      </w:r>
    </w:p>
    <w:p>
      <w:pPr>
        <w:pStyle w:val="ListParagraph"/>
        <w:widowControl w:val="false"/>
        <w:numPr>
          <w:ilvl w:val="2"/>
          <w:numId w:val="20"/>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the balances held at the end of the quarter being reported and</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which includes a comparison with the budget for the financial year and highlights any actual or potential overspends.</w:t>
      </w:r>
    </w:p>
    <w:p>
      <w:pPr>
        <w:pStyle w:val="Normal"/>
        <w:widowControl w:val="false"/>
        <w:numPr>
          <w:ilvl w:val="0"/>
          <w:numId w:val="13"/>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As soon as possible after the financial year end at 31 March, the Responsible Financial Officer shall provide:</w:t>
      </w:r>
    </w:p>
    <w:p>
      <w:pPr>
        <w:pStyle w:val="ListParagraph"/>
        <w:widowControl w:val="false"/>
        <w:numPr>
          <w:ilvl w:val="2"/>
          <w:numId w:val="30"/>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 xml:space="preserve">each councillor with a statement summarising the Council’s receipts and payments (or income and expenditure) for the last quarter and the year to date for information; and </w:t>
      </w:r>
    </w:p>
    <w:p>
      <w:pPr>
        <w:pStyle w:val="ListParagraph"/>
        <w:widowControl w:val="false"/>
        <w:numPr>
          <w:ilvl w:val="2"/>
          <w:numId w:val="30"/>
        </w:numPr>
        <w:suppressAutoHyphens w:val="true"/>
        <w:spacing w:lineRule="auto" w:line="276" w:before="0" w:after="200"/>
        <w:ind w:left="1134" w:right="0" w:hanging="567"/>
        <w:rPr/>
      </w:pPr>
      <w:r>
        <w:rPr>
          <w:rFonts w:cs="Arial" w:ascii="Arial" w:hAnsi="Arial"/>
          <w:color w:val="000000"/>
          <w:sz w:val="22"/>
          <w:szCs w:val="22"/>
          <w:lang w:bidi="en-US"/>
        </w:rPr>
        <w:t xml:space="preserve">to the Council the accounting statements for the year in the form of Section 1 of the </w:t>
      </w:r>
      <w:r>
        <w:rPr>
          <w:rFonts w:cs="Arial" w:ascii="Arial" w:hAnsi="Arial"/>
          <w:sz w:val="22"/>
          <w:szCs w:val="22"/>
        </w:rPr>
        <w:t>annual governance and accountability return</w:t>
      </w:r>
      <w:r>
        <w:rPr>
          <w:rFonts w:cs="Arial" w:ascii="Arial" w:hAnsi="Arial"/>
          <w:color w:val="000000"/>
          <w:sz w:val="22"/>
          <w:szCs w:val="22"/>
          <w:lang w:bidi="en-US"/>
        </w:rPr>
        <w:t>, as required by proper practices,</w:t>
      </w:r>
      <w:r>
        <w:rPr>
          <w:rFonts w:cs="Arial" w:ascii="Arial" w:hAnsi="Arial"/>
          <w:sz w:val="22"/>
          <w:szCs w:val="22"/>
        </w:rPr>
        <w:t xml:space="preserve"> </w:t>
      </w:r>
      <w:r>
        <w:rPr>
          <w:rFonts w:cs="Arial" w:ascii="Arial" w:hAnsi="Arial"/>
          <w:color w:val="000000"/>
          <w:sz w:val="22"/>
          <w:szCs w:val="22"/>
          <w:lang w:bidi="en-US"/>
        </w:rPr>
        <w:t>for consideration and approval.</w:t>
      </w:r>
    </w:p>
    <w:p>
      <w:pPr>
        <w:pStyle w:val="Normal"/>
        <w:widowControl w:val="false"/>
        <w:numPr>
          <w:ilvl w:val="0"/>
          <w:numId w:val="13"/>
        </w:numPr>
        <w:tabs>
          <w:tab w:val="left" w:pos="567" w:leader="none"/>
        </w:tabs>
        <w:suppressAutoHyphens w:val="true"/>
        <w:spacing w:lineRule="auto" w:line="276" w:before="0" w:after="200"/>
        <w:ind w:left="567" w:right="0" w:hanging="0"/>
        <w:rPr/>
      </w:pPr>
      <w:r>
        <w:rPr>
          <w:rFonts w:cs="Arial" w:ascii="Arial" w:hAnsi="Arial"/>
          <w:color w:val="000000"/>
          <w:sz w:val="22"/>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Pr>
          <w:rFonts w:cs="Arial" w:ascii="Arial" w:hAnsi="Arial"/>
          <w:sz w:val="22"/>
          <w:szCs w:val="22"/>
        </w:rPr>
        <w:t>annual governance and accountability return</w:t>
      </w:r>
      <w:r>
        <w:rPr>
          <w:rFonts w:cs="Arial" w:ascii="Arial" w:hAnsi="Arial"/>
        </w:rPr>
        <w:t xml:space="preserve"> </w:t>
      </w:r>
      <w:r>
        <w:rPr>
          <w:rFonts w:cs="Arial" w:ascii="Arial" w:hAnsi="Arial"/>
          <w:color w:val="000000"/>
          <w:sz w:val="22"/>
          <w:szCs w:val="22"/>
          <w:lang w:bidi="en-US"/>
        </w:rPr>
        <w:t xml:space="preserve">shall be presented to all councillors at least 14 days prior to anticipated approval by the Council. The </w:t>
      </w:r>
      <w:r>
        <w:rPr>
          <w:rFonts w:cs="Arial" w:ascii="Arial" w:hAnsi="Arial"/>
          <w:sz w:val="22"/>
          <w:szCs w:val="22"/>
        </w:rPr>
        <w:t>annual governance and accountability return</w:t>
      </w:r>
      <w:r>
        <w:rPr>
          <w:rFonts w:cs="Arial" w:ascii="Arial" w:hAnsi="Arial"/>
        </w:rPr>
        <w:t xml:space="preserve"> </w:t>
      </w:r>
      <w:r>
        <w:rPr>
          <w:rFonts w:cs="Arial" w:ascii="Arial" w:hAnsi="Arial"/>
          <w:color w:val="000000"/>
          <w:sz w:val="22"/>
          <w:szCs w:val="22"/>
          <w:lang w:bidi="en-US"/>
        </w:rPr>
        <w:t>of the Council, which is subject to external audit, including the annual governance statement, shall be presented to the Council for consideration and formal approval before 30 June.</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Normal"/>
        <w:spacing w:before="0" w:after="200"/>
        <w:rPr>
          <w:rFonts w:ascii="Arial" w:hAnsi="Arial" w:cs="Arial"/>
          <w:b/>
          <w:b/>
          <w:bCs/>
          <w:color w:val="000000"/>
          <w:sz w:val="22"/>
          <w:szCs w:val="22"/>
        </w:rPr>
      </w:pPr>
      <w:bookmarkStart w:id="190" w:name="Bookmark20"/>
      <w:bookmarkStart w:id="191" w:name="_Toc357072148"/>
      <w:bookmarkStart w:id="192" w:name="_Toc359318573"/>
      <w:bookmarkStart w:id="193" w:name="_Toc359334524"/>
      <w:bookmarkStart w:id="194" w:name="_Toc359334803"/>
      <w:bookmarkStart w:id="195" w:name="Bookmark20"/>
      <w:bookmarkStart w:id="196" w:name="_Toc357072148"/>
      <w:bookmarkStart w:id="197" w:name="_Toc359318573"/>
      <w:bookmarkStart w:id="198" w:name="_Toc359334524"/>
      <w:bookmarkStart w:id="199" w:name="_Toc359334803"/>
      <w:r>
        <w:rPr>
          <w:rFonts w:cs="Arial" w:ascii="Arial" w:hAnsi="Arial"/>
          <w:b/>
          <w:bCs/>
          <w:color w:val="000000"/>
          <w:sz w:val="22"/>
          <w:szCs w:val="22"/>
        </w:rPr>
      </w:r>
      <w:r>
        <w:br w:type="page"/>
      </w:r>
    </w:p>
    <w:p>
      <w:pPr>
        <w:pStyle w:val="Heading1"/>
        <w:numPr>
          <w:ilvl w:val="0"/>
          <w:numId w:val="1"/>
        </w:numPr>
        <w:spacing w:lineRule="auto" w:line="276" w:before="0" w:after="200"/>
        <w:rPr>
          <w:rFonts w:ascii="Arial" w:hAnsi="Arial" w:cs="Arial"/>
          <w:b/>
          <w:b/>
          <w:szCs w:val="22"/>
        </w:rPr>
      </w:pPr>
      <w:bookmarkStart w:id="200" w:name="Bookmark20"/>
      <w:bookmarkStart w:id="201" w:name="_Toc357072148"/>
      <w:bookmarkStart w:id="202" w:name="_Toc359318573"/>
      <w:bookmarkStart w:id="203" w:name="_Toc359334524"/>
      <w:bookmarkStart w:id="204" w:name="_Toc359334803"/>
      <w:bookmarkStart w:id="205" w:name="_Toc359336505"/>
      <w:bookmarkStart w:id="206" w:name="__RefHeading__1862_1299669005"/>
      <w:bookmarkEnd w:id="206"/>
      <w:bookmarkEnd w:id="200"/>
      <w:bookmarkEnd w:id="201"/>
      <w:bookmarkEnd w:id="202"/>
      <w:bookmarkEnd w:id="203"/>
      <w:bookmarkEnd w:id="204"/>
      <w:bookmarkEnd w:id="205"/>
      <w:r>
        <w:rPr>
          <w:rFonts w:cs="Arial" w:ascii="Arial" w:hAnsi="Arial"/>
          <w:b/>
          <w:szCs w:val="22"/>
        </w:rPr>
        <w:t>FINANCIAL CONTROLS AND PROCUREMENT</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36"/>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The Council shall consider and approve financial regulations drawn up by the Responsible Financial Officer, which shall include detailed arrangements in respect of the following:</w:t>
      </w:r>
    </w:p>
    <w:p>
      <w:pPr>
        <w:pStyle w:val="Normal"/>
        <w:widowControl w:val="false"/>
        <w:numPr>
          <w:ilvl w:val="0"/>
          <w:numId w:val="18"/>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the keeping of accounting records and systems of internal controls;</w:t>
      </w:r>
    </w:p>
    <w:p>
      <w:pPr>
        <w:pStyle w:val="Normal"/>
        <w:widowControl w:val="false"/>
        <w:numPr>
          <w:ilvl w:val="0"/>
          <w:numId w:val="18"/>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the assessment and management of financial risks faced by the Council;</w:t>
      </w:r>
    </w:p>
    <w:p>
      <w:pPr>
        <w:pStyle w:val="Normal"/>
        <w:widowControl w:val="false"/>
        <w:numPr>
          <w:ilvl w:val="0"/>
          <w:numId w:val="18"/>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the work of the independent internal auditor in accordance with proper practices and the receipt of regular reports from the internal auditor, which shall be required at least annually;</w:t>
      </w:r>
    </w:p>
    <w:p>
      <w:pPr>
        <w:pStyle w:val="Normal"/>
        <w:widowControl w:val="false"/>
        <w:numPr>
          <w:ilvl w:val="0"/>
          <w:numId w:val="18"/>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the inspection and copying by councillors and local electors of the Council’s accounts and/or orders of payments; and </w:t>
      </w:r>
    </w:p>
    <w:p>
      <w:pPr>
        <w:pStyle w:val="Normal"/>
        <w:widowControl w:val="false"/>
        <w:numPr>
          <w:ilvl w:val="0"/>
          <w:numId w:val="18"/>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subject to standing orders 18(e) and (f) whether contracts with an estimated value below [£25,000] or due to special circumstances are exempt from a tendering process or procurement exercise . </w:t>
      </w:r>
    </w:p>
    <w:p>
      <w:pPr>
        <w:pStyle w:val="ListParagraph"/>
        <w:widowControl w:val="false"/>
        <w:numPr>
          <w:ilvl w:val="0"/>
          <w:numId w:val="36"/>
        </w:numPr>
        <w:suppressAutoHyphens w:val="true"/>
        <w:spacing w:lineRule="auto" w:line="276" w:before="0" w:after="200"/>
        <w:ind w:left="567" w:right="0" w:hanging="567"/>
        <w:rPr>
          <w:rFonts w:ascii="Arial" w:hAnsi="Arial" w:cs="Arial"/>
          <w:color w:val="000000"/>
          <w:sz w:val="22"/>
          <w:szCs w:val="22"/>
          <w:lang w:bidi="en-US"/>
        </w:rPr>
      </w:pPr>
      <w:r>
        <w:rPr>
          <w:rFonts w:cs="Arial" w:ascii="Arial" w:hAnsi="Arial"/>
          <w:color w:val="000000"/>
          <w:sz w:val="22"/>
          <w:szCs w:val="22"/>
          <w:lang w:bidi="en-US"/>
        </w:rPr>
        <w:t>Financial regulations shall be reviewed regularly and at least annually for fitness of purpose.</w:t>
      </w:r>
    </w:p>
    <w:p>
      <w:pPr>
        <w:pStyle w:val="ListParagraph"/>
        <w:widowControl w:val="false"/>
        <w:numPr>
          <w:ilvl w:val="0"/>
          <w:numId w:val="36"/>
        </w:numPr>
        <w:suppressAutoHyphens w:val="true"/>
        <w:spacing w:lineRule="auto" w:line="276" w:before="0" w:after="200"/>
        <w:ind w:left="567" w:right="0" w:hanging="567"/>
        <w:rPr/>
      </w:pPr>
      <w:r>
        <w:rPr>
          <w:rFonts w:cs="Arial" w:ascii="Arial" w:hAnsi="Arial"/>
          <w:color w:val="000000"/>
          <w:sz w:val="22"/>
          <w:szCs w:val="22"/>
          <w:lang w:bidi="en-US"/>
        </w:rPr>
        <w:t>Subject to additional requirements in the financial regulations of the Council, the tender process</w:t>
      </w:r>
      <w:r>
        <w:rPr>
          <w:rFonts w:cs="Arial" w:ascii="Arial" w:hAnsi="Arial"/>
          <w:sz w:val="22"/>
          <w:szCs w:val="22"/>
        </w:rPr>
        <w:t xml:space="preserve"> for </w:t>
      </w:r>
      <w:r>
        <w:rPr>
          <w:rFonts w:cs="Arial" w:ascii="Arial" w:hAnsi="Arial"/>
          <w:color w:val="000000"/>
          <w:sz w:val="22"/>
          <w:szCs w:val="22"/>
          <w:lang w:bidi="en-US"/>
        </w:rPr>
        <w:t>contracts for the supply of goods, materials, services or the execution of works shall include, as a minimum, the following steps:</w:t>
      </w:r>
    </w:p>
    <w:p>
      <w:pPr>
        <w:pStyle w:val="Normal"/>
        <w:widowControl w:val="false"/>
        <w:numPr>
          <w:ilvl w:val="0"/>
          <w:numId w:val="19"/>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a specification for the goods, materials, services or the execution of works shall be drawn up;</w:t>
      </w:r>
    </w:p>
    <w:p>
      <w:pPr>
        <w:pStyle w:val="Normal"/>
        <w:numPr>
          <w:ilvl w:val="0"/>
          <w:numId w:val="19"/>
        </w:numPr>
        <w:tabs>
          <w:tab w:val="left" w:pos="1134" w:leader="none"/>
        </w:tabs>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pPr>
        <w:pStyle w:val="Normal"/>
        <w:numPr>
          <w:ilvl w:val="0"/>
          <w:numId w:val="19"/>
        </w:numPr>
        <w:tabs>
          <w:tab w:val="left" w:pos="1134" w:leader="none"/>
        </w:tabs>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the invitation to tender shall be advertised in a local newspaper and in any other manner that is appropriate; </w:t>
      </w:r>
    </w:p>
    <w:p>
      <w:pPr>
        <w:pStyle w:val="Normal"/>
        <w:widowControl w:val="false"/>
        <w:numPr>
          <w:ilvl w:val="0"/>
          <w:numId w:val="19"/>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tenders are to be submitted in writing in a sealed marked envelope addressed to the Proper Officer; </w:t>
      </w:r>
    </w:p>
    <w:p>
      <w:pPr>
        <w:pStyle w:val="Normal"/>
        <w:widowControl w:val="false"/>
        <w:numPr>
          <w:ilvl w:val="0"/>
          <w:numId w:val="19"/>
        </w:numPr>
        <w:tabs>
          <w:tab w:val="left" w:pos="1134" w:leader="none"/>
        </w:tabs>
        <w:suppressAutoHyphens w:val="true"/>
        <w:spacing w:lineRule="auto" w:line="276" w:before="0" w:after="200"/>
        <w:ind w:left="1134" w:right="0" w:hanging="0"/>
        <w:rPr>
          <w:rFonts w:ascii="Arial" w:hAnsi="Arial" w:cs="Arial"/>
          <w:color w:val="000000"/>
          <w:sz w:val="22"/>
          <w:szCs w:val="22"/>
          <w:lang w:bidi="en-US"/>
        </w:rPr>
      </w:pPr>
      <w:r>
        <w:rPr>
          <w:rFonts w:cs="Arial" w:ascii="Arial" w:hAnsi="Arial"/>
          <w:color w:val="000000"/>
          <w:sz w:val="22"/>
          <w:szCs w:val="22"/>
          <w:lang w:bidi="en-US"/>
        </w:rPr>
        <w:t xml:space="preserve">tenders shall be opened by the Proper Officer in the presence of at least one councillor after the deadline for submission of tenders has passed; </w:t>
      </w:r>
    </w:p>
    <w:p>
      <w:pPr>
        <w:pStyle w:val="Normal"/>
        <w:widowControl w:val="false"/>
        <w:numPr>
          <w:ilvl w:val="0"/>
          <w:numId w:val="19"/>
        </w:numPr>
        <w:tabs>
          <w:tab w:val="left" w:pos="1134" w:leader="none"/>
        </w:tabs>
        <w:suppressAutoHyphens w:val="true"/>
        <w:spacing w:lineRule="auto" w:line="276" w:before="0" w:after="200"/>
        <w:ind w:left="1134" w:right="0" w:hanging="0"/>
        <w:rPr/>
      </w:pPr>
      <w:r>
        <w:rPr>
          <w:rFonts w:cs="Arial" w:ascii="Arial" w:hAnsi="Arial"/>
          <w:color w:val="000000"/>
          <w:sz w:val="22"/>
          <w:szCs w:val="22"/>
          <w:lang w:bidi="en-US"/>
        </w:rPr>
        <w:t>tenders are to be reported to and considered by the appropriate meeting of the Council or a committee or sub-committee with delegated responsibility.</w:t>
      </w:r>
    </w:p>
    <w:p>
      <w:pPr>
        <w:pStyle w:val="Normal"/>
        <w:spacing w:before="0" w:after="200"/>
        <w:rPr>
          <w:rFonts w:ascii="Arial" w:hAnsi="Arial" w:cs="Arial"/>
          <w:color w:val="000000"/>
          <w:sz w:val="22"/>
          <w:szCs w:val="22"/>
          <w:lang w:bidi="en-US"/>
        </w:rPr>
      </w:pPr>
      <w:r>
        <w:rPr>
          <w:rFonts w:cs="Arial" w:ascii="Arial" w:hAnsi="Arial"/>
          <w:color w:val="000000"/>
          <w:sz w:val="22"/>
          <w:szCs w:val="22"/>
          <w:lang w:bidi="en-US"/>
        </w:rPr>
      </w:r>
      <w:r>
        <w:br w:type="page"/>
      </w:r>
    </w:p>
    <w:p>
      <w:pPr>
        <w:pStyle w:val="ListParagraph"/>
        <w:widowControl w:val="false"/>
        <w:numPr>
          <w:ilvl w:val="0"/>
          <w:numId w:val="36"/>
        </w:numPr>
        <w:suppressAutoHyphens w:val="true"/>
        <w:spacing w:lineRule="auto" w:line="276" w:before="0" w:after="200"/>
        <w:ind w:left="567" w:right="0" w:hanging="567"/>
        <w:rPr>
          <w:rFonts w:ascii="Arial" w:hAnsi="Arial" w:cs="Arial"/>
          <w:color w:val="000000"/>
          <w:sz w:val="22"/>
          <w:szCs w:val="22"/>
          <w:lang w:bidi="en-US"/>
        </w:rPr>
      </w:pPr>
      <w:r>
        <w:rPr>
          <w:rFonts w:cs="Arial" w:ascii="Arial" w:hAnsi="Arial"/>
          <w:color w:val="000000"/>
          <w:sz w:val="22"/>
          <w:szCs w:val="22"/>
          <w:lang w:bidi="en-US"/>
        </w:rPr>
        <w:t>Neither the Council, nor a committee or a sub-committee with delegated responsibility for considering tenders, is bound to accept the lowest value tender.</w:t>
      </w:r>
    </w:p>
    <w:p>
      <w:pPr>
        <w:pStyle w:val="ListParagraph"/>
        <w:widowControl w:val="false"/>
        <w:numPr>
          <w:ilvl w:val="0"/>
          <w:numId w:val="36"/>
        </w:numPr>
        <w:suppressAutoHyphens w:val="true"/>
        <w:spacing w:lineRule="auto" w:line="276" w:before="0" w:after="200"/>
        <w:ind w:left="567" w:right="0" w:hanging="567"/>
        <w:rPr/>
      </w:pPr>
      <w:r>
        <w:rPr>
          <w:rFonts w:cs="Arial" w:ascii="Arial" w:hAnsi="Arial"/>
          <w:b/>
          <w:bCs/>
          <w:color w:val="000000"/>
          <w:sz w:val="22"/>
          <w:szCs w:val="22"/>
          <w:lang w:bidi="en-US"/>
        </w:rPr>
        <w:t>A public contract regulated by the Public Contracts Regulations 2015 with an estimated value in excess of £181,302 for a public service or supply contract or in excess of £4,551,413</w:t>
      </w:r>
      <w:r>
        <w:rPr>
          <w:rFonts w:cs="Arial" w:ascii="Arial" w:hAnsi="Arial"/>
          <w:b/>
          <w:sz w:val="22"/>
          <w:szCs w:val="22"/>
        </w:rPr>
        <w:t xml:space="preserve"> </w:t>
      </w:r>
      <w:r>
        <w:rPr>
          <w:rFonts w:cs="Arial" w:ascii="Arial" w:hAnsi="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pPr>
        <w:pStyle w:val="ListParagraph"/>
        <w:widowControl w:val="false"/>
        <w:numPr>
          <w:ilvl w:val="0"/>
          <w:numId w:val="36"/>
        </w:numPr>
        <w:suppressAutoHyphens w:val="true"/>
        <w:spacing w:lineRule="auto" w:line="276" w:before="0" w:after="200"/>
        <w:ind w:left="567" w:right="0" w:hanging="567"/>
        <w:rPr/>
      </w:pPr>
      <w:r>
        <w:rPr>
          <w:rFonts w:cs="Arial" w:ascii="Arial" w:hAnsi="Arial"/>
          <w:b/>
          <w:bCs/>
          <w:color w:val="000000"/>
          <w:sz w:val="22"/>
          <w:szCs w:val="22"/>
        </w:rPr>
        <w:t xml:space="preserve">A public contract </w:t>
      </w:r>
      <w:r>
        <w:rPr>
          <w:rFonts w:cs="Arial" w:ascii="Arial" w:hAnsi="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Pr>
          <w:rFonts w:cs="Arial" w:ascii="Arial" w:hAnsi="Arial"/>
          <w:b/>
          <w:bCs/>
          <w:color w:val="000000"/>
          <w:sz w:val="22"/>
          <w:szCs w:val="22"/>
        </w:rPr>
        <w:t>with an estimated value in excess of £363,424 for a supply, services or design contract; or in excess of £4,551,413</w:t>
      </w:r>
      <w:r>
        <w:rPr>
          <w:rFonts w:cs="Arial" w:ascii="Arial" w:hAnsi="Arial"/>
          <w:b/>
          <w:sz w:val="22"/>
          <w:szCs w:val="22"/>
        </w:rPr>
        <w:t xml:space="preserve"> </w:t>
      </w:r>
      <w:r>
        <w:rPr>
          <w:rFonts w:cs="Arial" w:ascii="Arial" w:hAnsi="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pPr>
        <w:pStyle w:val="Normal"/>
        <w:widowControl w:val="false"/>
        <w:spacing w:lineRule="auto" w:line="276" w:before="0" w:after="200"/>
        <w:ind w:left="567" w:right="0" w:hanging="0"/>
        <w:rPr>
          <w:rFonts w:ascii="Arial" w:hAnsi="Arial" w:cs="Arial"/>
          <w:b/>
          <w:b/>
          <w:bCs/>
          <w:color w:val="000000"/>
          <w:sz w:val="22"/>
          <w:szCs w:val="22"/>
          <w:lang w:bidi="en-US"/>
        </w:rPr>
      </w:pPr>
      <w:bookmarkStart w:id="207" w:name="_Toc357072143"/>
      <w:bookmarkStart w:id="208" w:name="_Toc357072143"/>
      <w:bookmarkEnd w:id="208"/>
      <w:r>
        <w:rPr>
          <w:rFonts w:cs="Arial" w:ascii="Arial" w:hAnsi="Arial"/>
          <w:b/>
          <w:bCs/>
          <w:color w:val="000000"/>
          <w:sz w:val="22"/>
          <w:szCs w:val="22"/>
          <w:lang w:bidi="en-US"/>
        </w:rPr>
      </w:r>
    </w:p>
    <w:p>
      <w:pPr>
        <w:pStyle w:val="Heading1"/>
        <w:numPr>
          <w:ilvl w:val="0"/>
          <w:numId w:val="1"/>
        </w:numPr>
        <w:spacing w:lineRule="auto" w:line="276" w:before="0" w:after="200"/>
        <w:rPr>
          <w:rFonts w:ascii="Arial" w:hAnsi="Arial" w:cs="Arial"/>
          <w:b/>
          <w:b/>
          <w:szCs w:val="22"/>
        </w:rPr>
      </w:pPr>
      <w:bookmarkStart w:id="209" w:name="Bookmark21"/>
      <w:bookmarkStart w:id="210" w:name="_Toc357072149"/>
      <w:bookmarkStart w:id="211" w:name="_Toc359318574"/>
      <w:bookmarkStart w:id="212" w:name="_Toc359334525"/>
      <w:bookmarkStart w:id="213" w:name="_Toc359334804"/>
      <w:bookmarkStart w:id="214" w:name="_Toc359336506"/>
      <w:bookmarkStart w:id="215" w:name="__RefHeading__1864_1299669005"/>
      <w:bookmarkEnd w:id="215"/>
      <w:bookmarkEnd w:id="209"/>
      <w:bookmarkEnd w:id="210"/>
      <w:bookmarkEnd w:id="211"/>
      <w:bookmarkEnd w:id="212"/>
      <w:bookmarkEnd w:id="213"/>
      <w:bookmarkEnd w:id="214"/>
      <w:r>
        <w:rPr>
          <w:rFonts w:cs="Arial" w:ascii="Arial" w:hAnsi="Arial"/>
          <w:b/>
          <w:szCs w:val="22"/>
        </w:rPr>
        <w:t>HANDLING STAFF MATTERS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 matter personal to a member of staff that is being considered by a meeting of [Council] OR [the (   ) committee] OR [the (   ) sub-committee] is subject to standing order 11.</w:t>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Subject to the Council’s policy regarding absences from work, the Council’s most senior member of staff shall notify the chairman of [the (   ) committee] OR [the (   ) sub-committee] or, if he is not available, the vice-chairman (if there is one) of [the (   ) committee] OR [the (   ) sub-committee] of absence occasioned by illness or other reason and that person shall report such absence to [the (   ) committee] OR [the (   ) sub-committee] at its next meeting.</w:t>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The chairman of [the (   ) committee] OR [the (   ) sub-committee] or in his absence, the vice-chairman shall upon a resolution conduct a review of the performance and annual appraisal of the work of [the member of staff’s job title]. The reviews and appraisal shall be reported in writing and are subject to approval by resolution by [the (   ) committee] OR [the (   ) sub-committee]. </w:t>
      </w:r>
    </w:p>
    <w:p>
      <w:pPr>
        <w:pStyle w:val="Normal"/>
        <w:widowControl w:val="false"/>
        <w:numPr>
          <w:ilvl w:val="0"/>
          <w:numId w:val="14"/>
        </w:numPr>
        <w:tabs>
          <w:tab w:val="left" w:pos="1134" w:leader="none"/>
        </w:tabs>
        <w:suppressAutoHyphens w:val="true"/>
        <w:spacing w:lineRule="auto" w:line="276" w:before="0" w:after="200"/>
        <w:ind w:left="567" w:right="-144" w:hanging="0"/>
        <w:rPr/>
      </w:pPr>
      <w:r>
        <w:rPr>
          <w:rFonts w:cs="Arial" w:ascii="Arial" w:hAnsi="Arial"/>
          <w:color w:val="000000"/>
          <w:sz w:val="22"/>
          <w:szCs w:val="22"/>
          <w:lang w:bidi="en-US"/>
        </w:rPr>
        <w:t>Subject to the Council’s policy regarding the handling of grievance matters, the Council’s most senior member of staff (or other members of staff)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Subject to the Council’s policy regarding the handling of grievance matters, if an informal or formal grievance matter raised by [the member of staff’s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pPr>
        <w:pStyle w:val="Normal"/>
        <w:widowControl w:val="false"/>
        <w:numPr>
          <w:ilvl w:val="0"/>
          <w:numId w:val="14"/>
        </w:numPr>
        <w:tabs>
          <w:tab w:val="left" w:pos="1134"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 xml:space="preserve">In accordance with standing order 11(a), persons with line management responsibilities shall have access to staff records referred to in standing order 19(f). </w:t>
      </w:r>
    </w:p>
    <w:p>
      <w:pPr>
        <w:pStyle w:val="Normal"/>
        <w:widowControl w:val="false"/>
        <w:suppressAutoHyphens w:val="true"/>
        <w:spacing w:lineRule="auto" w:line="276" w:before="0" w:after="200"/>
        <w:rPr>
          <w:rFonts w:ascii="Arial" w:hAnsi="Arial" w:cs="Arial"/>
          <w:color w:val="000000"/>
          <w:sz w:val="20"/>
          <w:szCs w:val="22"/>
          <w:lang w:bidi="en-US"/>
        </w:rPr>
      </w:pPr>
      <w:r>
        <w:rPr>
          <w:rFonts w:cs="Arial" w:ascii="Arial" w:hAnsi="Arial"/>
          <w:color w:val="000000"/>
          <w:sz w:val="20"/>
          <w:szCs w:val="22"/>
          <w:lang w:bidi="en-US"/>
        </w:rPr>
      </w:r>
    </w:p>
    <w:p>
      <w:pPr>
        <w:pStyle w:val="Heading1"/>
        <w:numPr>
          <w:ilvl w:val="0"/>
          <w:numId w:val="1"/>
        </w:numPr>
        <w:spacing w:lineRule="auto" w:line="276" w:before="0" w:after="200"/>
        <w:rPr/>
      </w:pPr>
      <w:bookmarkStart w:id="216" w:name="__RefHeading__1866_1299669005"/>
      <w:bookmarkStart w:id="217" w:name="Bookmark22"/>
      <w:bookmarkEnd w:id="216"/>
      <w:r>
        <w:rPr>
          <w:rFonts w:cs="Arial" w:ascii="Arial" w:hAnsi="Arial"/>
          <w:b/>
          <w:szCs w:val="22"/>
        </w:rPr>
        <w:t>RESPONSIBILITIES TO PROVIDE INFORMATION</w:t>
      </w:r>
      <w:bookmarkEnd w:id="217"/>
      <w:r>
        <w:rPr>
          <w:rFonts w:cs="Arial" w:ascii="Arial" w:hAnsi="Arial"/>
          <w:b/>
          <w:szCs w:val="22"/>
        </w:rPr>
        <w:t xml:space="preserve"> </w:t>
      </w:r>
    </w:p>
    <w:p>
      <w:pPr>
        <w:pStyle w:val="Normal"/>
        <w:widowControl w:val="false"/>
        <w:suppressAutoHyphens w:val="true"/>
        <w:spacing w:lineRule="auto" w:line="276" w:before="0" w:after="200"/>
        <w:ind w:left="131" w:right="0" w:firstLine="720"/>
        <w:rPr/>
      </w:pPr>
      <w:r>
        <w:rPr>
          <w:rFonts w:cs="Arial" w:ascii="Arial" w:hAnsi="Arial"/>
          <w:bCs/>
          <w:i/>
          <w:sz w:val="22"/>
          <w:szCs w:val="22"/>
        </w:rPr>
        <w:t>See also standing order 21.</w:t>
      </w:r>
      <w:r>
        <w:rPr>
          <w:rFonts w:cs="Arial" w:ascii="Arial" w:hAnsi="Arial"/>
          <w:i/>
          <w:sz w:val="22"/>
          <w:szCs w:val="22"/>
        </w:rPr>
        <w:t xml:space="preserve"> </w:t>
      </w:r>
    </w:p>
    <w:p>
      <w:pPr>
        <w:pStyle w:val="Normal"/>
        <w:widowControl w:val="false"/>
        <w:suppressAutoHyphens w:val="true"/>
        <w:spacing w:lineRule="auto" w:line="276" w:before="0" w:after="200"/>
        <w:ind w:left="131" w:right="0" w:firstLine="720"/>
        <w:rPr>
          <w:rFonts w:ascii="Arial" w:hAnsi="Arial" w:cs="Arial"/>
          <w:i/>
          <w:i/>
          <w:sz w:val="20"/>
          <w:szCs w:val="22"/>
        </w:rPr>
      </w:pPr>
      <w:r>
        <w:rPr>
          <w:rFonts w:cs="Arial" w:ascii="Arial" w:hAnsi="Arial"/>
          <w:i/>
          <w:sz w:val="20"/>
          <w:szCs w:val="22"/>
        </w:rPr>
      </w:r>
    </w:p>
    <w:p>
      <w:pPr>
        <w:pStyle w:val="Normal"/>
        <w:widowControl w:val="false"/>
        <w:numPr>
          <w:ilvl w:val="0"/>
          <w:numId w:val="37"/>
        </w:numPr>
        <w:suppressAutoHyphens w:val="true"/>
        <w:spacing w:lineRule="auto" w:line="276" w:before="0" w:after="200"/>
        <w:ind w:left="567" w:right="0" w:hanging="567"/>
        <w:rPr/>
      </w:pPr>
      <w:r>
        <w:rPr>
          <w:rFonts w:cs="Arial" w:ascii="Arial" w:hAnsi="Arial"/>
          <w:b/>
          <w:color w:val="000000"/>
          <w:sz w:val="22"/>
          <w:szCs w:val="22"/>
          <w:lang w:bidi="en-US"/>
        </w:rPr>
        <w:t>In accordance with freedom of information legislation, the Council shall publish information in accordance with its publication scheme and respond to requests</w:t>
      </w:r>
      <w:r>
        <w:rPr>
          <w:rFonts w:cs="Arial" w:ascii="Arial" w:hAnsi="Arial"/>
          <w:b/>
          <w:sz w:val="22"/>
          <w:szCs w:val="22"/>
        </w:rPr>
        <w:t xml:space="preserve"> </w:t>
      </w:r>
      <w:r>
        <w:rPr>
          <w:rFonts w:cs="Arial" w:ascii="Arial" w:hAnsi="Arial"/>
          <w:b/>
          <w:color w:val="000000"/>
          <w:sz w:val="22"/>
          <w:szCs w:val="22"/>
          <w:lang w:bidi="en-US"/>
        </w:rPr>
        <w:t xml:space="preserve">for information held by the Council.  </w:t>
      </w:r>
    </w:p>
    <w:p>
      <w:pPr>
        <w:pStyle w:val="Normal"/>
        <w:widowControl w:val="false"/>
        <w:suppressAutoHyphens w:val="true"/>
        <w:spacing w:lineRule="auto" w:line="276" w:before="0" w:after="200"/>
        <w:rPr>
          <w:rFonts w:ascii="Arial" w:hAnsi="Arial" w:cs="Arial"/>
          <w:color w:val="000000"/>
          <w:sz w:val="20"/>
          <w:szCs w:val="22"/>
          <w:lang w:bidi="en-US"/>
        </w:rPr>
      </w:pPr>
      <w:r>
        <w:rPr>
          <w:rFonts w:cs="Arial" w:ascii="Arial" w:hAnsi="Arial"/>
          <w:color w:val="000000"/>
          <w:sz w:val="20"/>
          <w:szCs w:val="22"/>
          <w:lang w:bidi="en-US"/>
        </w:rPr>
      </w:r>
    </w:p>
    <w:p>
      <w:pPr>
        <w:pStyle w:val="Heading1"/>
        <w:numPr>
          <w:ilvl w:val="0"/>
          <w:numId w:val="1"/>
        </w:numPr>
        <w:spacing w:lineRule="auto" w:line="276" w:before="0" w:after="0"/>
        <w:rPr/>
      </w:pPr>
      <w:bookmarkStart w:id="218" w:name="__RefHeading__1868_1299669005"/>
      <w:bookmarkStart w:id="219" w:name="Bookmark23"/>
      <w:bookmarkEnd w:id="218"/>
      <w:r>
        <w:rPr>
          <w:rFonts w:cs="Arial" w:ascii="Arial" w:hAnsi="Arial"/>
          <w:b/>
          <w:szCs w:val="22"/>
          <w:lang w:bidi="en-US"/>
        </w:rPr>
        <w:t>RESPONSIBILITIES UNDER DATA PROTECTION LEGISLATION</w:t>
      </w:r>
      <w:bookmarkEnd w:id="219"/>
      <w:r>
        <w:rPr>
          <w:rFonts w:cs="Arial" w:ascii="Arial" w:hAnsi="Arial"/>
          <w:b/>
          <w:szCs w:val="22"/>
          <w:lang w:bidi="en-US"/>
        </w:rPr>
        <w:t xml:space="preserve"> </w:t>
      </w:r>
    </w:p>
    <w:p>
      <w:pPr>
        <w:pStyle w:val="Normal"/>
        <w:spacing w:lineRule="auto" w:line="276"/>
        <w:ind w:left="130" w:right="0" w:firstLine="720"/>
        <w:rPr>
          <w:rFonts w:ascii="Arial" w:hAnsi="Arial" w:cs="Arial"/>
          <w:sz w:val="22"/>
          <w:lang w:bidi="en-US"/>
        </w:rPr>
      </w:pPr>
      <w:r>
        <w:rPr>
          <w:rFonts w:cs="Arial" w:ascii="Arial" w:hAnsi="Arial"/>
          <w:sz w:val="22"/>
          <w:lang w:bidi="en-US"/>
        </w:rPr>
        <w:t xml:space="preserve">(Below is not an exclusive list). </w:t>
      </w:r>
    </w:p>
    <w:p>
      <w:pPr>
        <w:pStyle w:val="Normal"/>
        <w:widowControl w:val="false"/>
        <w:suppressAutoHyphens w:val="true"/>
        <w:spacing w:lineRule="auto" w:line="276" w:before="0" w:after="200"/>
        <w:ind w:left="131" w:right="0" w:firstLine="720"/>
        <w:rPr>
          <w:rFonts w:ascii="Arial" w:hAnsi="Arial" w:cs="Arial"/>
          <w:i/>
          <w:i/>
          <w:color w:val="000000"/>
          <w:sz w:val="22"/>
          <w:szCs w:val="22"/>
          <w:lang w:bidi="en-US"/>
        </w:rPr>
      </w:pPr>
      <w:r>
        <w:rPr>
          <w:rFonts w:cs="Arial" w:ascii="Arial" w:hAnsi="Arial"/>
          <w:i/>
          <w:color w:val="000000"/>
          <w:sz w:val="22"/>
          <w:szCs w:val="22"/>
          <w:lang w:bidi="en-US"/>
        </w:rPr>
      </w:r>
    </w:p>
    <w:p>
      <w:pPr>
        <w:pStyle w:val="Normal"/>
        <w:widowControl w:val="false"/>
        <w:suppressAutoHyphens w:val="true"/>
        <w:spacing w:lineRule="auto" w:line="276" w:before="0" w:after="200"/>
        <w:ind w:left="131" w:right="0" w:firstLine="720"/>
        <w:rPr>
          <w:rFonts w:ascii="Arial" w:hAnsi="Arial" w:cs="Arial"/>
          <w:i/>
          <w:i/>
          <w:color w:val="000000"/>
          <w:sz w:val="22"/>
          <w:szCs w:val="22"/>
          <w:lang w:bidi="en-US"/>
        </w:rPr>
      </w:pPr>
      <w:r>
        <w:rPr>
          <w:rFonts w:cs="Arial" w:ascii="Arial" w:hAnsi="Arial"/>
          <w:i/>
          <w:color w:val="000000"/>
          <w:sz w:val="22"/>
          <w:szCs w:val="22"/>
          <w:lang w:bidi="en-US"/>
        </w:rPr>
        <w:t>See also standing order 11.</w:t>
      </w:r>
    </w:p>
    <w:p>
      <w:pPr>
        <w:pStyle w:val="Normal"/>
        <w:widowControl w:val="false"/>
        <w:suppressAutoHyphens w:val="true"/>
        <w:spacing w:lineRule="auto" w:line="276" w:before="0" w:after="200"/>
        <w:ind w:left="131" w:right="0" w:firstLine="720"/>
        <w:rPr>
          <w:rFonts w:ascii="Arial" w:hAnsi="Arial" w:cs="Arial"/>
          <w:i/>
          <w:i/>
          <w:color w:val="000000"/>
          <w:sz w:val="20"/>
          <w:szCs w:val="22"/>
          <w:lang w:bidi="en-US"/>
        </w:rPr>
      </w:pPr>
      <w:r>
        <w:rPr>
          <w:rFonts w:cs="Arial" w:ascii="Arial" w:hAnsi="Arial"/>
          <w:i/>
          <w:color w:val="000000"/>
          <w:sz w:val="20"/>
          <w:szCs w:val="22"/>
          <w:lang w:bidi="en-US"/>
        </w:rPr>
      </w:r>
    </w:p>
    <w:p>
      <w:pPr>
        <w:pStyle w:val="ListParagraph"/>
        <w:numPr>
          <w:ilvl w:val="0"/>
          <w:numId w:val="38"/>
        </w:numPr>
        <w:spacing w:lineRule="auto" w:line="276" w:before="0" w:after="200"/>
        <w:rPr>
          <w:rFonts w:ascii="Arial" w:hAnsi="Arial" w:cs="Arial"/>
          <w:b/>
          <w:b/>
          <w:sz w:val="22"/>
        </w:rPr>
      </w:pPr>
      <w:r>
        <w:rPr>
          <w:rFonts w:cs="Arial" w:ascii="Arial" w:hAnsi="Arial"/>
          <w:b/>
          <w:sz w:val="22"/>
        </w:rPr>
        <w:t>The Council shall appoint a Data Protection Officer.</w:t>
      </w:r>
    </w:p>
    <w:p>
      <w:pPr>
        <w:pStyle w:val="ListParagraph"/>
        <w:numPr>
          <w:ilvl w:val="0"/>
          <w:numId w:val="38"/>
        </w:numPr>
        <w:spacing w:lineRule="auto" w:line="276" w:before="0" w:after="200"/>
        <w:rPr>
          <w:rFonts w:ascii="Arial" w:hAnsi="Arial" w:cs="Arial"/>
          <w:b/>
          <w:b/>
          <w:sz w:val="22"/>
        </w:rPr>
      </w:pPr>
      <w:r>
        <w:rPr>
          <w:rFonts w:cs="Arial" w:ascii="Arial" w:hAnsi="Arial"/>
          <w:b/>
          <w:sz w:val="22"/>
        </w:rPr>
        <w:t xml:space="preserve">The Council shall have policies and procedures in place to respond to an individual exercising statutory rights concerning his personal data. </w:t>
      </w:r>
    </w:p>
    <w:p>
      <w:pPr>
        <w:pStyle w:val="ListParagraph"/>
        <w:numPr>
          <w:ilvl w:val="0"/>
          <w:numId w:val="38"/>
        </w:numPr>
        <w:spacing w:lineRule="auto" w:line="276" w:before="0" w:after="200"/>
        <w:rPr>
          <w:rFonts w:ascii="Arial" w:hAnsi="Arial" w:cs="Arial"/>
          <w:b/>
          <w:b/>
          <w:sz w:val="22"/>
        </w:rPr>
      </w:pPr>
      <w:r>
        <w:rPr>
          <w:rFonts w:cs="Arial" w:ascii="Arial" w:hAnsi="Arial"/>
          <w:b/>
          <w:sz w:val="22"/>
        </w:rPr>
        <w:t>The Council shall have a written policy in place for responding to and managing a personal data breach.</w:t>
      </w:r>
    </w:p>
    <w:p>
      <w:pPr>
        <w:pStyle w:val="ListParagraph"/>
        <w:numPr>
          <w:ilvl w:val="0"/>
          <w:numId w:val="38"/>
        </w:numPr>
        <w:spacing w:lineRule="auto" w:line="276" w:before="0" w:after="200"/>
        <w:rPr>
          <w:rFonts w:ascii="Arial" w:hAnsi="Arial" w:cs="Arial"/>
          <w:b/>
          <w:b/>
          <w:sz w:val="22"/>
        </w:rPr>
      </w:pPr>
      <w:r>
        <w:rPr>
          <w:rFonts w:cs="Arial" w:ascii="Arial" w:hAnsi="Arial"/>
          <w:b/>
          <w:sz w:val="22"/>
        </w:rPr>
        <w:t>The Council shall keep a record of all personal data breaches comprising the facts relating to the personal data breach, its effects and the remedial action taken.</w:t>
      </w:r>
    </w:p>
    <w:p>
      <w:pPr>
        <w:pStyle w:val="ListParagraph"/>
        <w:numPr>
          <w:ilvl w:val="0"/>
          <w:numId w:val="38"/>
        </w:numPr>
        <w:spacing w:lineRule="auto" w:line="276" w:before="0" w:after="200"/>
        <w:rPr>
          <w:rFonts w:ascii="Arial" w:hAnsi="Arial" w:cs="Arial"/>
          <w:b/>
          <w:b/>
          <w:sz w:val="22"/>
        </w:rPr>
      </w:pPr>
      <w:r>
        <w:rPr>
          <w:rFonts w:cs="Arial" w:ascii="Arial" w:hAnsi="Arial"/>
          <w:b/>
          <w:sz w:val="22"/>
        </w:rPr>
        <w:t>The Council shall ensure that information communicated in its privacy notice(s) is in an easily accessible and available form and kept up to date.</w:t>
      </w:r>
    </w:p>
    <w:p>
      <w:pPr>
        <w:pStyle w:val="ListParagraph"/>
        <w:numPr>
          <w:ilvl w:val="0"/>
          <w:numId w:val="38"/>
        </w:numPr>
        <w:spacing w:lineRule="auto" w:line="276" w:before="0" w:after="200"/>
        <w:rPr>
          <w:rFonts w:ascii="Arial" w:hAnsi="Arial" w:cs="Arial"/>
          <w:b/>
          <w:b/>
          <w:sz w:val="22"/>
        </w:rPr>
      </w:pPr>
      <w:r>
        <w:rPr>
          <w:rFonts w:cs="Arial" w:ascii="Arial" w:hAnsi="Arial"/>
          <w:b/>
          <w:sz w:val="22"/>
        </w:rPr>
        <w:t>The Council shall maintain a written record of its processing activities.</w:t>
      </w:r>
    </w:p>
    <w:p>
      <w:pPr>
        <w:pStyle w:val="Normal"/>
        <w:spacing w:lineRule="auto" w:line="276" w:before="0" w:after="200"/>
        <w:rPr>
          <w:rFonts w:ascii="Arial" w:hAnsi="Arial" w:cs="Arial"/>
          <w:color w:val="000000"/>
          <w:sz w:val="18"/>
          <w:szCs w:val="21"/>
          <w:lang w:bidi="en-US"/>
        </w:rPr>
      </w:pPr>
      <w:r>
        <w:rPr>
          <w:rFonts w:cs="Arial" w:ascii="Arial" w:hAnsi="Arial"/>
          <w:color w:val="000000"/>
          <w:sz w:val="18"/>
          <w:szCs w:val="21"/>
          <w:lang w:bidi="en-US"/>
        </w:rPr>
      </w:r>
    </w:p>
    <w:p>
      <w:pPr>
        <w:pStyle w:val="Heading1"/>
        <w:numPr>
          <w:ilvl w:val="0"/>
          <w:numId w:val="1"/>
        </w:numPr>
        <w:spacing w:lineRule="auto" w:line="276" w:before="0" w:after="200"/>
        <w:rPr>
          <w:rFonts w:ascii="Arial" w:hAnsi="Arial" w:cs="Arial"/>
          <w:b/>
          <w:b/>
          <w:szCs w:val="22"/>
        </w:rPr>
      </w:pPr>
      <w:bookmarkStart w:id="220" w:name="Bookmark24"/>
      <w:bookmarkStart w:id="221" w:name="_Toc357072153"/>
      <w:bookmarkStart w:id="222" w:name="_Toc359318576"/>
      <w:bookmarkStart w:id="223" w:name="_Toc359334527"/>
      <w:bookmarkStart w:id="224" w:name="_Toc359334806"/>
      <w:bookmarkStart w:id="225" w:name="_Toc359336508"/>
      <w:bookmarkStart w:id="226" w:name="__RefHeading__1870_1299669005"/>
      <w:bookmarkEnd w:id="226"/>
      <w:bookmarkEnd w:id="220"/>
      <w:bookmarkEnd w:id="221"/>
      <w:bookmarkEnd w:id="222"/>
      <w:bookmarkEnd w:id="223"/>
      <w:bookmarkEnd w:id="224"/>
      <w:bookmarkEnd w:id="225"/>
      <w:r>
        <w:rPr>
          <w:rFonts w:cs="Arial" w:ascii="Arial" w:hAnsi="Arial"/>
          <w:b/>
          <w:szCs w:val="22"/>
        </w:rPr>
        <w:t>RELATIONS WITH THE PRESS/MEDIA</w:t>
      </w:r>
    </w:p>
    <w:p>
      <w:pPr>
        <w:pStyle w:val="Normal"/>
        <w:widowControl w:val="false"/>
        <w:suppressAutoHyphens w:val="true"/>
        <w:spacing w:lineRule="auto" w:line="276" w:before="0" w:after="200"/>
        <w:ind w:left="567" w:right="0" w:hanging="0"/>
        <w:rPr>
          <w:rFonts w:ascii="Arial" w:hAnsi="Arial" w:cs="Arial"/>
          <w:color w:val="000000"/>
          <w:sz w:val="18"/>
          <w:szCs w:val="21"/>
          <w:lang w:bidi="en-US"/>
        </w:rPr>
      </w:pPr>
      <w:r>
        <w:rPr>
          <w:rFonts w:cs="Arial" w:ascii="Arial" w:hAnsi="Arial"/>
          <w:color w:val="000000"/>
          <w:sz w:val="18"/>
          <w:szCs w:val="21"/>
          <w:lang w:bidi="en-US"/>
        </w:rPr>
      </w:r>
    </w:p>
    <w:p>
      <w:pPr>
        <w:pStyle w:val="Normal"/>
        <w:widowControl w:val="false"/>
        <w:numPr>
          <w:ilvl w:val="0"/>
          <w:numId w:val="15"/>
        </w:numPr>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pPr>
        <w:pStyle w:val="Normal"/>
        <w:widowControl w:val="false"/>
        <w:suppressAutoHyphens w:val="true"/>
        <w:spacing w:lineRule="auto" w:line="276" w:before="0" w:after="200"/>
        <w:ind w:left="567" w:right="0" w:hanging="0"/>
        <w:rPr>
          <w:rFonts w:ascii="Arial" w:hAnsi="Arial" w:cs="Arial"/>
          <w:color w:val="000000"/>
          <w:sz w:val="18"/>
          <w:szCs w:val="21"/>
          <w:lang w:bidi="en-US"/>
        </w:rPr>
      </w:pPr>
      <w:r>
        <w:rPr>
          <w:rFonts w:cs="Arial" w:ascii="Arial" w:hAnsi="Arial"/>
          <w:color w:val="000000"/>
          <w:sz w:val="18"/>
          <w:szCs w:val="21"/>
          <w:lang w:bidi="en-US"/>
        </w:rPr>
      </w:r>
    </w:p>
    <w:p>
      <w:pPr>
        <w:pStyle w:val="Heading1"/>
        <w:numPr>
          <w:ilvl w:val="0"/>
          <w:numId w:val="1"/>
        </w:numPr>
        <w:spacing w:lineRule="auto" w:line="276" w:before="0" w:after="200"/>
        <w:rPr/>
      </w:pPr>
      <w:bookmarkStart w:id="227" w:name="__RefHeading__1872_1299669005"/>
      <w:bookmarkStart w:id="228" w:name="Bookmark25"/>
      <w:bookmarkStart w:id="229" w:name="_Toc357072154"/>
      <w:bookmarkStart w:id="230" w:name="_Toc359318577"/>
      <w:bookmarkStart w:id="231" w:name="_Toc359334528"/>
      <w:bookmarkStart w:id="232" w:name="_Toc359334807"/>
      <w:bookmarkStart w:id="233" w:name="_Toc359336509"/>
      <w:bookmarkEnd w:id="227"/>
      <w:r>
        <w:rPr>
          <w:rFonts w:cs="Arial" w:ascii="Arial" w:hAnsi="Arial"/>
          <w:b/>
          <w:szCs w:val="22"/>
        </w:rPr>
        <w:t>EXECUTION AND SEALING OF LEGAL DEEDS</w:t>
      </w:r>
      <w:bookmarkEnd w:id="228"/>
      <w:bookmarkEnd w:id="229"/>
      <w:bookmarkEnd w:id="230"/>
      <w:bookmarkEnd w:id="231"/>
      <w:bookmarkEnd w:id="232"/>
      <w:bookmarkEnd w:id="233"/>
      <w:r>
        <w:rPr>
          <w:rFonts w:cs="Arial" w:ascii="Arial" w:hAnsi="Arial"/>
          <w:b/>
          <w:szCs w:val="22"/>
        </w:rPr>
        <w:t xml:space="preserve"> </w:t>
      </w:r>
    </w:p>
    <w:p>
      <w:pPr>
        <w:pStyle w:val="Normal"/>
        <w:spacing w:before="0" w:after="200"/>
        <w:ind w:left="131" w:right="0" w:firstLine="720"/>
        <w:rPr>
          <w:rFonts w:ascii="Arial" w:hAnsi="Arial" w:cs="Arial"/>
          <w:i/>
          <w:i/>
          <w:sz w:val="22"/>
          <w:szCs w:val="22"/>
          <w:lang w:bidi="en-US"/>
        </w:rPr>
      </w:pPr>
      <w:r>
        <w:rPr>
          <w:rFonts w:cs="Arial" w:ascii="Arial" w:hAnsi="Arial"/>
          <w:i/>
          <w:sz w:val="22"/>
          <w:szCs w:val="22"/>
          <w:lang w:bidi="en-US"/>
        </w:rPr>
        <w:t>See also standing orders 15(b)(xii) and (xvii).</w:t>
      </w:r>
    </w:p>
    <w:p>
      <w:pPr>
        <w:pStyle w:val="Normal"/>
        <w:spacing w:before="0" w:after="200"/>
        <w:ind w:left="0" w:right="0" w:firstLine="720"/>
        <w:rPr>
          <w:rFonts w:ascii="Arial" w:hAnsi="Arial" w:cs="Arial"/>
          <w:b/>
          <w:b/>
          <w:sz w:val="18"/>
          <w:szCs w:val="21"/>
        </w:rPr>
      </w:pPr>
      <w:r>
        <w:rPr>
          <w:rFonts w:cs="Arial" w:ascii="Arial" w:hAnsi="Arial"/>
          <w:b/>
          <w:sz w:val="18"/>
          <w:szCs w:val="21"/>
        </w:rPr>
      </w:r>
    </w:p>
    <w:p>
      <w:pPr>
        <w:pStyle w:val="Normal"/>
        <w:widowControl w:val="false"/>
        <w:numPr>
          <w:ilvl w:val="0"/>
          <w:numId w:val="11"/>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A legal deed shall not be executed on behalf of the Council unless authorised by a resolution.</w:t>
      </w:r>
    </w:p>
    <w:p>
      <w:pPr>
        <w:pStyle w:val="Normal"/>
        <w:widowControl w:val="false"/>
        <w:numPr>
          <w:ilvl w:val="0"/>
          <w:numId w:val="11"/>
        </w:numPr>
        <w:tabs>
          <w:tab w:val="left" w:pos="567" w:leader="none"/>
        </w:tabs>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[Subject to standing order 23(a), the Council’s common seal shall alone be used for sealing a deed required by law. It shall be applied by the Proper Officer in the presence of two councillors who shall sign the deed as witnesses.]</w:t>
      </w:r>
    </w:p>
    <w:p>
      <w:pPr>
        <w:pStyle w:val="Normal"/>
        <w:widowControl w:val="false"/>
        <w:suppressAutoHyphens w:val="true"/>
        <w:spacing w:lineRule="auto" w:line="276" w:before="0" w:after="200"/>
        <w:ind w:left="567" w:right="0" w:hanging="0"/>
        <w:rPr>
          <w:rFonts w:ascii="Arial" w:hAnsi="Arial" w:cs="Arial"/>
          <w:i/>
          <w:i/>
          <w:color w:val="000000"/>
          <w:sz w:val="22"/>
          <w:szCs w:val="22"/>
          <w:lang w:bidi="en-US"/>
        </w:rPr>
      </w:pPr>
      <w:r>
        <w:rPr>
          <w:rFonts w:cs="Arial" w:ascii="Arial" w:hAnsi="Arial"/>
          <w:i/>
          <w:color w:val="000000"/>
          <w:sz w:val="22"/>
          <w:szCs w:val="22"/>
          <w:lang w:bidi="en-US"/>
        </w:rPr>
        <w:t>The above is applicable to a Council with a common seal.</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OR</w:t>
      </w:r>
    </w:p>
    <w:p>
      <w:pPr>
        <w:pStyle w:val="Normal"/>
        <w:widowControl w:val="false"/>
        <w:suppressAutoHyphens w:val="true"/>
        <w:spacing w:lineRule="auto" w:line="276" w:before="0" w:after="200"/>
        <w:ind w:left="567" w:right="0" w:hanging="0"/>
        <w:rPr>
          <w:rFonts w:ascii="Arial" w:hAnsi="Arial" w:cs="Arial"/>
          <w:b/>
          <w:b/>
          <w:bCs/>
          <w:color w:val="000000"/>
          <w:sz w:val="22"/>
          <w:szCs w:val="22"/>
          <w:lang w:bidi="en-US"/>
        </w:rPr>
      </w:pPr>
      <w:r>
        <w:rPr>
          <w:rFonts w:cs="Arial" w:ascii="Arial" w:hAnsi="Arial"/>
          <w:b/>
          <w:bCs/>
          <w:color w:val="000000"/>
          <w:sz w:val="22"/>
          <w:szCs w:val="22"/>
          <w:lang w:bidi="en-US"/>
        </w:rPr>
        <w:t xml:space="preserve">[Subject to standing order 23(a), any two councillors may sign, on behalf of the Council, any deed required by law and the Proper Officer shall witness their signatures.] </w:t>
      </w:r>
    </w:p>
    <w:p>
      <w:pPr>
        <w:pStyle w:val="Normal"/>
        <w:widowControl w:val="false"/>
        <w:suppressAutoHyphens w:val="true"/>
        <w:spacing w:lineRule="auto" w:line="276" w:before="0" w:after="200"/>
        <w:ind w:left="567" w:right="0" w:hanging="0"/>
        <w:rPr>
          <w:rFonts w:ascii="Arial" w:hAnsi="Arial" w:cs="Arial"/>
          <w:i/>
          <w:i/>
          <w:color w:val="000000"/>
          <w:sz w:val="22"/>
          <w:szCs w:val="22"/>
          <w:lang w:bidi="en-US"/>
        </w:rPr>
      </w:pPr>
      <w:r>
        <w:rPr>
          <w:rFonts w:cs="Arial" w:ascii="Arial" w:hAnsi="Arial"/>
          <w:i/>
          <w:color w:val="000000"/>
          <w:sz w:val="22"/>
          <w:szCs w:val="22"/>
          <w:lang w:bidi="en-US"/>
        </w:rPr>
        <w:t>The above is applicable to a Council without a common seal.</w:t>
      </w:r>
    </w:p>
    <w:p>
      <w:pPr>
        <w:pStyle w:val="Normal"/>
        <w:widowControl w:val="false"/>
        <w:suppressAutoHyphens w:val="true"/>
        <w:spacing w:lineRule="auto" w:line="276" w:before="0" w:after="200"/>
        <w:ind w:left="567" w:right="0" w:hanging="0"/>
        <w:rPr>
          <w:rFonts w:ascii="Arial" w:hAnsi="Arial" w:cs="Arial"/>
          <w:i/>
          <w:i/>
          <w:color w:val="000000"/>
          <w:sz w:val="18"/>
          <w:szCs w:val="21"/>
          <w:lang w:bidi="en-US"/>
        </w:rPr>
      </w:pPr>
      <w:r>
        <w:rPr>
          <w:rFonts w:cs="Arial" w:ascii="Arial" w:hAnsi="Arial"/>
          <w:i/>
          <w:color w:val="000000"/>
          <w:sz w:val="18"/>
          <w:szCs w:val="21"/>
          <w:lang w:bidi="en-US"/>
        </w:rPr>
      </w:r>
    </w:p>
    <w:p>
      <w:pPr>
        <w:pStyle w:val="Heading1"/>
        <w:numPr>
          <w:ilvl w:val="0"/>
          <w:numId w:val="1"/>
        </w:numPr>
        <w:spacing w:lineRule="auto" w:line="276" w:before="0" w:after="200"/>
        <w:rPr>
          <w:rFonts w:ascii="Arial" w:hAnsi="Arial" w:cs="Arial"/>
          <w:b/>
          <w:b/>
          <w:szCs w:val="22"/>
        </w:rPr>
      </w:pPr>
      <w:bookmarkStart w:id="234" w:name="Bookmark26"/>
      <w:bookmarkStart w:id="235" w:name="_Toc357072155"/>
      <w:bookmarkStart w:id="236" w:name="_Toc359318578"/>
      <w:bookmarkStart w:id="237" w:name="_Toc359334529"/>
      <w:bookmarkStart w:id="238" w:name="_Toc359334808"/>
      <w:bookmarkStart w:id="239" w:name="_Toc359336510"/>
      <w:bookmarkStart w:id="240" w:name="__RefHeading__1874_1299669005"/>
      <w:bookmarkEnd w:id="240"/>
      <w:bookmarkEnd w:id="234"/>
      <w:bookmarkEnd w:id="235"/>
      <w:bookmarkEnd w:id="236"/>
      <w:bookmarkEnd w:id="237"/>
      <w:bookmarkEnd w:id="238"/>
      <w:bookmarkEnd w:id="239"/>
      <w:r>
        <w:rPr>
          <w:rFonts w:cs="Arial" w:ascii="Arial" w:hAnsi="Arial"/>
          <w:b/>
          <w:szCs w:val="22"/>
        </w:rPr>
        <w:t>COMMUNICATING WITH COUNTY BOROUGH OR COUNTY COUNCIL COUNCILLORS</w:t>
      </w:r>
    </w:p>
    <w:p>
      <w:pPr>
        <w:pStyle w:val="Normal"/>
        <w:widowControl w:val="false"/>
        <w:suppressAutoHyphens w:val="true"/>
        <w:spacing w:lineRule="auto" w:line="276" w:before="0" w:after="200"/>
        <w:ind w:left="567" w:right="0" w:hanging="0"/>
        <w:rPr>
          <w:rFonts w:ascii="Arial" w:hAnsi="Arial" w:cs="Arial"/>
          <w:color w:val="000000"/>
          <w:sz w:val="18"/>
          <w:szCs w:val="21"/>
          <w:lang w:bidi="en-US"/>
        </w:rPr>
      </w:pPr>
      <w:r>
        <w:rPr>
          <w:rFonts w:cs="Arial" w:ascii="Arial" w:hAnsi="Arial"/>
          <w:color w:val="000000"/>
          <w:sz w:val="18"/>
          <w:szCs w:val="21"/>
          <w:lang w:bidi="en-US"/>
        </w:rPr>
      </w:r>
    </w:p>
    <w:p>
      <w:pPr>
        <w:pStyle w:val="Normal"/>
        <w:widowControl w:val="false"/>
        <w:numPr>
          <w:ilvl w:val="0"/>
          <w:numId w:val="16"/>
        </w:numPr>
        <w:tabs>
          <w:tab w:val="left" w:pos="567" w:leader="none"/>
        </w:tabs>
        <w:suppressAutoHyphens w:val="true"/>
        <w:spacing w:lineRule="auto" w:line="276" w:before="0" w:after="200"/>
        <w:ind w:left="567" w:right="0" w:hanging="0"/>
        <w:rPr/>
      </w:pPr>
      <w:r>
        <w:rPr>
          <w:rFonts w:cs="Arial" w:ascii="Arial" w:hAnsi="Arial"/>
          <w:color w:val="000000"/>
          <w:sz w:val="22"/>
          <w:szCs w:val="22"/>
          <w:lang w:bidi="en-US"/>
        </w:rPr>
        <w:t xml:space="preserve">An invitation to attend a meeting of the Council shall be sent, together with the agenda, to the ward councillor(s) of the [County Borough] OR [County Council] representing the area of the Council. </w:t>
      </w:r>
    </w:p>
    <w:p>
      <w:pPr>
        <w:pStyle w:val="Normal"/>
        <w:widowControl w:val="false"/>
        <w:numPr>
          <w:ilvl w:val="0"/>
          <w:numId w:val="16"/>
        </w:numPr>
        <w:tabs>
          <w:tab w:val="left" w:pos="567" w:leader="none"/>
        </w:tabs>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t>Unless the Council determines otherwise, a copy of each letter sent to the [County Borough] OR [County Council] shall be sent to the ward councillor(s) representing the area of the Council.</w:t>
      </w:r>
    </w:p>
    <w:p>
      <w:pPr>
        <w:pStyle w:val="Normal"/>
        <w:widowControl w:val="false"/>
        <w:suppressAutoHyphens w:val="true"/>
        <w:spacing w:lineRule="auto" w:line="276" w:before="0" w:after="200"/>
        <w:rPr>
          <w:rFonts w:ascii="Arial" w:hAnsi="Arial" w:cs="Arial"/>
          <w:color w:val="000000"/>
          <w:sz w:val="22"/>
          <w:szCs w:val="22"/>
          <w:lang w:bidi="en-US"/>
        </w:rPr>
      </w:pPr>
      <w:r>
        <w:rPr>
          <w:rFonts w:cs="Arial" w:ascii="Arial" w:hAnsi="Arial"/>
          <w:color w:val="000000"/>
          <w:sz w:val="22"/>
          <w:szCs w:val="22"/>
          <w:lang w:bidi="en-US"/>
        </w:rPr>
      </w:r>
    </w:p>
    <w:p>
      <w:pPr>
        <w:pStyle w:val="Heading1"/>
        <w:numPr>
          <w:ilvl w:val="0"/>
          <w:numId w:val="1"/>
        </w:numPr>
        <w:spacing w:lineRule="auto" w:line="276" w:before="0" w:after="200"/>
        <w:rPr>
          <w:rFonts w:ascii="Arial" w:hAnsi="Arial" w:cs="Arial"/>
          <w:b/>
          <w:b/>
          <w:szCs w:val="22"/>
        </w:rPr>
      </w:pPr>
      <w:bookmarkStart w:id="241" w:name="_Toc509572282"/>
      <w:bookmarkStart w:id="242" w:name="Bookmark27"/>
      <w:bookmarkStart w:id="243" w:name="_Toc359318579"/>
      <w:bookmarkStart w:id="244" w:name="_Toc359334530"/>
      <w:bookmarkStart w:id="245" w:name="_Toc359334809"/>
      <w:bookmarkStart w:id="246" w:name="_Toc359336511"/>
      <w:bookmarkStart w:id="247" w:name="__RefHeading__1876_1299669005"/>
      <w:bookmarkEnd w:id="241"/>
      <w:bookmarkEnd w:id="247"/>
      <w:bookmarkEnd w:id="242"/>
      <w:bookmarkEnd w:id="243"/>
      <w:bookmarkEnd w:id="244"/>
      <w:bookmarkEnd w:id="245"/>
      <w:bookmarkEnd w:id="246"/>
      <w:r>
        <w:rPr>
          <w:rFonts w:cs="Arial" w:ascii="Arial" w:hAnsi="Arial"/>
          <w:b/>
          <w:szCs w:val="22"/>
        </w:rPr>
        <w:t>RESTRICTIONS ON COUNCILLOR ACTIVITIES</w:t>
      </w:r>
    </w:p>
    <w:p>
      <w:pPr>
        <w:pStyle w:val="Normal"/>
        <w:widowControl w:val="false"/>
        <w:suppressAutoHyphens w:val="true"/>
        <w:spacing w:lineRule="auto" w:line="276" w:before="0" w:after="200"/>
        <w:ind w:left="567" w:right="0" w:hanging="0"/>
        <w:rPr>
          <w:rFonts w:ascii="Arial" w:hAnsi="Arial" w:cs="Arial"/>
          <w:color w:val="000000"/>
          <w:sz w:val="22"/>
          <w:szCs w:val="22"/>
          <w:lang w:bidi="en-US"/>
        </w:rPr>
      </w:pPr>
      <w:r>
        <w:rPr>
          <w:rFonts w:cs="Arial" w:ascii="Arial" w:hAnsi="Arial"/>
          <w:color w:val="000000"/>
          <w:sz w:val="22"/>
          <w:szCs w:val="22"/>
          <w:lang w:bidi="en-US"/>
        </w:rPr>
      </w:r>
    </w:p>
    <w:p>
      <w:pPr>
        <w:pStyle w:val="ListParagraph"/>
        <w:widowControl w:val="false"/>
        <w:numPr>
          <w:ilvl w:val="1"/>
          <w:numId w:val="27"/>
        </w:numPr>
        <w:suppressAutoHyphens w:val="true"/>
        <w:spacing w:lineRule="auto" w:line="276" w:before="0" w:after="200"/>
        <w:ind w:left="567" w:right="-144" w:hanging="567"/>
        <w:rPr>
          <w:rFonts w:ascii="Arial" w:hAnsi="Arial" w:cs="Arial"/>
          <w:color w:val="000000"/>
          <w:sz w:val="22"/>
          <w:szCs w:val="22"/>
          <w:lang w:bidi="en-US"/>
        </w:rPr>
      </w:pPr>
      <w:r>
        <w:rPr>
          <w:rFonts w:cs="Arial" w:ascii="Arial" w:hAnsi="Arial"/>
          <w:color w:val="000000"/>
          <w:sz w:val="22"/>
          <w:szCs w:val="22"/>
          <w:lang w:bidi="en-US"/>
        </w:rPr>
        <w:t>Unless duly authorised no councillor shall:</w:t>
      </w:r>
    </w:p>
    <w:p>
      <w:pPr>
        <w:pStyle w:val="Normal"/>
        <w:widowControl w:val="false"/>
        <w:numPr>
          <w:ilvl w:val="0"/>
          <w:numId w:val="28"/>
        </w:numPr>
        <w:suppressAutoHyphens w:val="true"/>
        <w:spacing w:lineRule="auto" w:line="276" w:before="0" w:after="200"/>
        <w:ind w:left="1134" w:right="-144" w:hanging="567"/>
        <w:rPr>
          <w:rFonts w:ascii="Arial" w:hAnsi="Arial" w:cs="Arial"/>
          <w:color w:val="000000"/>
          <w:sz w:val="22"/>
          <w:szCs w:val="22"/>
          <w:lang w:bidi="en-US"/>
        </w:rPr>
      </w:pPr>
      <w:r>
        <w:rPr>
          <w:rFonts w:cs="Arial" w:ascii="Arial" w:hAnsi="Arial"/>
          <w:color w:val="000000"/>
          <w:sz w:val="22"/>
          <w:szCs w:val="22"/>
          <w:lang w:bidi="en-US"/>
        </w:rPr>
        <w:t>inspect any land and/or premises which the Council has a right or duty to inspect; or</w:t>
      </w:r>
    </w:p>
    <w:p>
      <w:pPr>
        <w:pStyle w:val="Normal"/>
        <w:widowControl w:val="false"/>
        <w:numPr>
          <w:ilvl w:val="0"/>
          <w:numId w:val="28"/>
        </w:numPr>
        <w:suppressAutoHyphens w:val="true"/>
        <w:spacing w:lineRule="auto" w:line="276" w:before="0" w:after="200"/>
        <w:ind w:left="1134" w:right="0" w:hanging="567"/>
        <w:rPr>
          <w:rFonts w:ascii="Arial" w:hAnsi="Arial" w:cs="Arial"/>
          <w:color w:val="000000"/>
          <w:sz w:val="22"/>
          <w:szCs w:val="22"/>
          <w:lang w:bidi="en-US"/>
        </w:rPr>
      </w:pPr>
      <w:r>
        <w:rPr>
          <w:rFonts w:cs="Arial" w:ascii="Arial" w:hAnsi="Arial"/>
          <w:color w:val="000000"/>
          <w:sz w:val="22"/>
          <w:szCs w:val="22"/>
          <w:lang w:bidi="en-US"/>
        </w:rPr>
        <w:t>issue orders, instructions or directions.</w:t>
      </w:r>
    </w:p>
    <w:p>
      <w:pPr>
        <w:pStyle w:val="Normal"/>
        <w:widowControl w:val="false"/>
        <w:suppressAutoHyphens w:val="true"/>
        <w:spacing w:lineRule="auto" w:line="276" w:before="0" w:after="200"/>
        <w:rPr>
          <w:rFonts w:ascii="Arial" w:hAnsi="Arial" w:cs="Arial"/>
          <w:color w:val="000000"/>
          <w:sz w:val="22"/>
          <w:szCs w:val="22"/>
          <w:lang w:bidi="en-US"/>
        </w:rPr>
      </w:pPr>
      <w:bookmarkStart w:id="248" w:name="_Toc509572282"/>
      <w:bookmarkStart w:id="249" w:name="_Toc509572282"/>
      <w:bookmarkEnd w:id="249"/>
      <w:r>
        <w:rPr>
          <w:rFonts w:cs="Arial" w:ascii="Arial" w:hAnsi="Arial"/>
          <w:color w:val="000000"/>
          <w:sz w:val="22"/>
          <w:szCs w:val="22"/>
          <w:lang w:bidi="en-US"/>
        </w:rPr>
      </w:r>
    </w:p>
    <w:p>
      <w:pPr>
        <w:pStyle w:val="Heading1"/>
        <w:numPr>
          <w:ilvl w:val="0"/>
          <w:numId w:val="1"/>
        </w:numPr>
        <w:spacing w:lineRule="auto" w:line="276" w:before="0" w:after="200"/>
        <w:rPr>
          <w:rFonts w:ascii="Arial" w:hAnsi="Arial" w:cs="Arial"/>
          <w:b/>
          <w:b/>
          <w:szCs w:val="22"/>
        </w:rPr>
      </w:pPr>
      <w:bookmarkStart w:id="250" w:name="Bookmark28"/>
      <w:bookmarkStart w:id="251" w:name="_Toc359318581"/>
      <w:bookmarkStart w:id="252" w:name="_Toc359334532"/>
      <w:bookmarkStart w:id="253" w:name="_Toc359334811"/>
      <w:bookmarkStart w:id="254" w:name="_Toc359336513"/>
      <w:bookmarkStart w:id="255" w:name="__RefHeading__1878_1299669005"/>
      <w:bookmarkEnd w:id="255"/>
      <w:bookmarkEnd w:id="250"/>
      <w:bookmarkEnd w:id="251"/>
      <w:bookmarkEnd w:id="252"/>
      <w:bookmarkEnd w:id="253"/>
      <w:bookmarkEnd w:id="254"/>
      <w:r>
        <w:rPr>
          <w:rFonts w:cs="Arial" w:ascii="Arial" w:hAnsi="Arial"/>
          <w:b/>
          <w:szCs w:val="22"/>
        </w:rPr>
        <w:t>STANDING ORDERS GENERALLY</w:t>
      </w:r>
    </w:p>
    <w:p>
      <w:pPr>
        <w:pStyle w:val="ListParagraph"/>
        <w:spacing w:lineRule="auto" w:line="276" w:before="0" w:after="200"/>
        <w:ind w:left="567" w:right="0" w:hanging="0"/>
        <w:rPr>
          <w:rFonts w:ascii="Arial" w:hAnsi="Arial" w:cs="Arial"/>
          <w:sz w:val="22"/>
          <w:szCs w:val="22"/>
          <w:lang w:bidi="en-US"/>
        </w:rPr>
      </w:pPr>
      <w:r>
        <w:rPr>
          <w:rFonts w:cs="Arial" w:ascii="Arial" w:hAnsi="Arial"/>
          <w:sz w:val="22"/>
          <w:szCs w:val="22"/>
          <w:lang w:bidi="en-US"/>
        </w:rPr>
      </w:r>
    </w:p>
    <w:p>
      <w:pPr>
        <w:pStyle w:val="Normal"/>
        <w:widowControl w:val="false"/>
        <w:numPr>
          <w:ilvl w:val="0"/>
          <w:numId w:val="29"/>
        </w:numPr>
        <w:suppressAutoHyphens w:val="true"/>
        <w:spacing w:lineRule="auto" w:line="276" w:before="0" w:after="200"/>
        <w:ind w:left="567" w:right="0" w:hanging="567"/>
        <w:rPr>
          <w:rFonts w:ascii="Arial" w:hAnsi="Arial" w:cs="Arial"/>
          <w:color w:val="000000"/>
          <w:sz w:val="22"/>
          <w:szCs w:val="22"/>
          <w:lang w:bidi="en-US"/>
        </w:rPr>
      </w:pPr>
      <w:r>
        <w:rPr>
          <w:rFonts w:cs="Arial" w:ascii="Arial" w:hAnsi="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pPr>
        <w:pStyle w:val="ListParagraph"/>
        <w:widowControl w:val="false"/>
        <w:numPr>
          <w:ilvl w:val="0"/>
          <w:numId w:val="29"/>
        </w:numPr>
        <w:suppressAutoHyphens w:val="true"/>
        <w:spacing w:lineRule="auto" w:line="276" w:before="0" w:after="200"/>
        <w:ind w:left="567" w:right="0" w:hanging="567"/>
        <w:rPr>
          <w:rFonts w:ascii="Arial" w:hAnsi="Arial" w:cs="Arial"/>
          <w:sz w:val="22"/>
          <w:szCs w:val="22"/>
          <w:lang w:bidi="en-US"/>
        </w:rPr>
      </w:pPr>
      <w:r>
        <w:rPr>
          <w:rFonts w:cs="Arial" w:ascii="Arial" w:hAnsi="Arial"/>
          <w:sz w:val="22"/>
          <w:szCs w:val="22"/>
          <w:lang w:bidi="en-US"/>
        </w:rPr>
        <w:t>A motion to add to or vary or revoke one or more of the Council’s standing orders, except one that incorporates mandatory statutory or legal requirements, shall be proposed by a special motion, the written notice by at least (   ) councillors to be given to the Proper Officer in accordance with standing order 9.</w:t>
      </w:r>
    </w:p>
    <w:p>
      <w:pPr>
        <w:pStyle w:val="Normal"/>
        <w:widowControl w:val="false"/>
        <w:numPr>
          <w:ilvl w:val="0"/>
          <w:numId w:val="29"/>
        </w:numPr>
        <w:suppressAutoHyphens w:val="true"/>
        <w:spacing w:lineRule="auto" w:line="276" w:before="0" w:after="200"/>
        <w:ind w:left="567" w:right="0" w:hanging="567"/>
        <w:rPr>
          <w:rFonts w:ascii="Arial" w:hAnsi="Arial" w:cs="Arial"/>
          <w:color w:val="000000"/>
          <w:sz w:val="22"/>
          <w:szCs w:val="22"/>
          <w:lang w:bidi="en-US"/>
        </w:rPr>
      </w:pPr>
      <w:r>
        <w:rPr>
          <w:rFonts w:cs="Arial" w:ascii="Arial" w:hAnsi="Arial"/>
          <w:color w:val="000000"/>
          <w:sz w:val="22"/>
          <w:szCs w:val="22"/>
          <w:lang w:bidi="en-US"/>
        </w:rPr>
        <w:t>The Proper Officer shall provide a copy of the Council’s standing orders to a councillor as soon as possible.</w:t>
      </w:r>
    </w:p>
    <w:p>
      <w:pPr>
        <w:pStyle w:val="Normal"/>
        <w:widowControl w:val="false"/>
        <w:numPr>
          <w:ilvl w:val="0"/>
          <w:numId w:val="29"/>
        </w:numPr>
        <w:suppressAutoHyphens w:val="true"/>
        <w:spacing w:lineRule="auto" w:line="276" w:before="0" w:after="200"/>
        <w:ind w:left="567" w:right="0" w:hanging="567"/>
        <w:rPr>
          <w:rFonts w:ascii="Arial" w:hAnsi="Arial" w:cs="Arial"/>
          <w:color w:val="000000"/>
          <w:sz w:val="22"/>
          <w:szCs w:val="22"/>
          <w:lang w:bidi="en-US"/>
        </w:rPr>
      </w:pPr>
      <w:r>
        <w:rPr>
          <w:rFonts w:cs="Arial" w:ascii="Arial" w:hAnsi="Arial"/>
          <w:color w:val="000000"/>
          <w:sz w:val="22"/>
          <w:szCs w:val="22"/>
          <w:lang w:bidi="en-US"/>
        </w:rPr>
        <w:t>The decision of the chairman of a meeting as to the application of standing orders at the meeting shall be final.</w:t>
      </w:r>
    </w:p>
    <w:p>
      <w:pPr>
        <w:pStyle w:val="Normal"/>
        <w:widowControl w:val="false"/>
        <w:suppressAutoHyphens w:val="true"/>
        <w:spacing w:lineRule="auto" w:line="276" w:before="0" w:after="200"/>
        <w:ind w:left="567" w:right="0" w:hanging="0"/>
        <w:rPr/>
      </w:pPr>
      <w:r>
        <w:rPr/>
      </w:r>
    </w:p>
    <w:sectPr>
      <w:footerReference w:type="default" r:id="rId5"/>
      <w:type w:val="nextPage"/>
      <w:pgSz w:w="11906" w:h="16838"/>
      <w:pgMar w:left="1800" w:right="1800" w:header="0" w:top="1440" w:footer="708"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otham Bold">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Times-Roman">
    <w:altName w:val="Times New Roman"/>
    <w:charset w:val="00"/>
    <w:family w:val="roman"/>
    <w:pitch w:val="variable"/>
  </w:font>
  <w:font w:name="AGaramondPro-Bold">
    <w:charset w:val="00"/>
    <w:family w:val="roman"/>
    <w:pitch w:val="variable"/>
  </w:font>
  <w:font w:name="Courier New">
    <w:charset w:val="0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lowerLetter"/>
      <w:lvlText w:val="%1"/>
      <w:lvlJc w:val="left"/>
      <w:pPr>
        <w:tabs>
          <w:tab w:val="num" w:pos="1134"/>
        </w:tabs>
        <w:ind w:left="1134" w:hanging="567"/>
      </w:pPr>
      <w:rPr>
        <w:b w:val="false"/>
      </w:rPr>
    </w:lvl>
    <w:lvl w:ilvl="1">
      <w:start w:val="1"/>
      <w:numFmt w:val="lowerLetter"/>
      <w:lvlText w:val="%2."/>
      <w:lvlJc w:val="left"/>
      <w:pPr>
        <w:tabs>
          <w:tab w:val="num" w:pos="1440"/>
        </w:tabs>
        <w:ind w:left="1440" w:hanging="360"/>
      </w:pPr>
    </w:lvl>
    <w:lvl w:ilvl="2">
      <w:start w:val="1"/>
      <w:numFmt w:val="lowerRoman"/>
      <w:lvlText w:val="%2.%3."/>
      <w:lvlJc w:val="left"/>
      <w:pPr>
        <w:tabs>
          <w:tab w:val="num" w:pos="2490"/>
        </w:tabs>
        <w:ind w:left="2434" w:hanging="454"/>
      </w:pPr>
      <w:rPr>
        <w:sz w:val="24"/>
        <w:b w:val="false"/>
        <w:szCs w:val="20"/>
      </w:rPr>
    </w:lvl>
    <w:lvl w:ilvl="3">
      <w:start w:val="1"/>
      <w:numFmt w:val="bullet"/>
      <w:lvlText w:val=""/>
      <w:lvlJc w:val="left"/>
      <w:pPr>
        <w:ind w:left="3240" w:hanging="720"/>
      </w:pPr>
      <w:rPr>
        <w:rFonts w:ascii="Symbol" w:hAnsi="Symbol" w:cs="Symbol" w:hint="default"/>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lvl w:ilvl="0">
      <w:start w:val="1"/>
      <w:numFmt w:val="lowerLetter"/>
      <w:lvlText w:val="%1"/>
      <w:lvlJc w:val="left"/>
      <w:pPr>
        <w:tabs>
          <w:tab w:val="num" w:pos="1134"/>
        </w:tabs>
        <w:ind w:left="1134" w:hanging="567"/>
      </w:pPr>
    </w:lvl>
    <w:lvl w:ilvl="1">
      <w:start w:val="1"/>
      <w:numFmt w:val="lowerLetter"/>
      <w:lvlText w:val="%2."/>
      <w:lvlJc w:val="left"/>
      <w:pPr>
        <w:tabs>
          <w:tab w:val="num" w:pos="2574"/>
        </w:tabs>
        <w:ind w:left="2574" w:hanging="360"/>
      </w:pPr>
    </w:lvl>
    <w:lvl w:ilvl="2">
      <w:start w:val="1"/>
      <w:numFmt w:val="lowerRoman"/>
      <w:lvlText w:val="%2.%3."/>
      <w:lvlJc w:val="right"/>
      <w:pPr>
        <w:tabs>
          <w:tab w:val="num" w:pos="3294"/>
        </w:tabs>
        <w:ind w:left="3294" w:hanging="180"/>
      </w:pPr>
    </w:lvl>
    <w:lvl w:ilvl="3">
      <w:start w:val="1"/>
      <w:numFmt w:val="decimal"/>
      <w:lvlText w:val="%2.%3.%4."/>
      <w:lvlJc w:val="left"/>
      <w:pPr>
        <w:tabs>
          <w:tab w:val="num" w:pos="4014"/>
        </w:tabs>
        <w:ind w:left="4014" w:hanging="360"/>
      </w:pPr>
    </w:lvl>
    <w:lvl w:ilvl="4">
      <w:start w:val="1"/>
      <w:numFmt w:val="lowerLetter"/>
      <w:lvlText w:val="%2.%3.%4.%5."/>
      <w:lvlJc w:val="left"/>
      <w:pPr>
        <w:tabs>
          <w:tab w:val="num" w:pos="4734"/>
        </w:tabs>
        <w:ind w:left="4734" w:hanging="360"/>
      </w:pPr>
    </w:lvl>
    <w:lvl w:ilvl="5">
      <w:start w:val="1"/>
      <w:numFmt w:val="lowerRoman"/>
      <w:lvlText w:val="%2.%3.%4.%5.%6."/>
      <w:lvlJc w:val="right"/>
      <w:pPr>
        <w:tabs>
          <w:tab w:val="num" w:pos="5454"/>
        </w:tabs>
        <w:ind w:left="5454" w:hanging="180"/>
      </w:pPr>
    </w:lvl>
    <w:lvl w:ilvl="6">
      <w:start w:val="1"/>
      <w:numFmt w:val="decimal"/>
      <w:lvlText w:val="%2.%3.%4.%5.%6.%7."/>
      <w:lvlJc w:val="left"/>
      <w:pPr>
        <w:tabs>
          <w:tab w:val="num" w:pos="6174"/>
        </w:tabs>
        <w:ind w:left="6174" w:hanging="360"/>
      </w:pPr>
    </w:lvl>
    <w:lvl w:ilvl="7">
      <w:start w:val="1"/>
      <w:numFmt w:val="lowerLetter"/>
      <w:lvlText w:val="%2.%3.%4.%5.%6.%7.%8."/>
      <w:lvlJc w:val="left"/>
      <w:pPr>
        <w:tabs>
          <w:tab w:val="num" w:pos="6894"/>
        </w:tabs>
        <w:ind w:left="6894" w:hanging="360"/>
      </w:pPr>
    </w:lvl>
    <w:lvl w:ilvl="8">
      <w:start w:val="1"/>
      <w:numFmt w:val="lowerRoman"/>
      <w:lvlText w:val="%2.%3.%4.%5.%6.%7.%8.%9."/>
      <w:lvlJc w:val="right"/>
      <w:pPr>
        <w:tabs>
          <w:tab w:val="num" w:pos="7614"/>
        </w:tabs>
        <w:ind w:left="7614" w:hanging="180"/>
      </w:pPr>
    </w:lvl>
  </w:abstractNum>
  <w:abstractNum w:abstractNumId="4">
    <w:lvl w:ilvl="0">
      <w:start w:val="1"/>
      <w:numFmt w:val="lowerLetter"/>
      <w:lvlText w:val="%1"/>
      <w:lvlJc w:val="left"/>
      <w:pPr>
        <w:tabs>
          <w:tab w:val="num" w:pos="1134"/>
        </w:tabs>
        <w:ind w:left="1134" w:hanging="567"/>
      </w:pPr>
    </w:lvl>
    <w:lvl w:ilvl="1">
      <w:start w:val="1"/>
      <w:numFmt w:val="lowerLetter"/>
      <w:lvlText w:val="%2."/>
      <w:lvlJc w:val="left"/>
      <w:pPr>
        <w:tabs>
          <w:tab w:val="num" w:pos="2007"/>
        </w:tabs>
        <w:ind w:left="2007" w:hanging="360"/>
      </w:pPr>
    </w:lvl>
    <w:lvl w:ilvl="2">
      <w:start w:val="1"/>
      <w:numFmt w:val="lowerRoman"/>
      <w:lvlText w:val="%2.%3."/>
      <w:lvlJc w:val="right"/>
      <w:pPr>
        <w:tabs>
          <w:tab w:val="num" w:pos="2727"/>
        </w:tabs>
        <w:ind w:left="2727" w:hanging="180"/>
      </w:pPr>
    </w:lvl>
    <w:lvl w:ilvl="3">
      <w:start w:val="1"/>
      <w:numFmt w:val="decimal"/>
      <w:lvlText w:val="%2.%3.%4."/>
      <w:lvlJc w:val="left"/>
      <w:pPr>
        <w:tabs>
          <w:tab w:val="num" w:pos="3447"/>
        </w:tabs>
        <w:ind w:left="3447" w:hanging="360"/>
      </w:pPr>
    </w:lvl>
    <w:lvl w:ilvl="4">
      <w:start w:val="1"/>
      <w:numFmt w:val="lowerLetter"/>
      <w:lvlText w:val="%2.%3.%4.%5."/>
      <w:lvlJc w:val="left"/>
      <w:pPr>
        <w:tabs>
          <w:tab w:val="num" w:pos="4167"/>
        </w:tabs>
        <w:ind w:left="4167" w:hanging="360"/>
      </w:pPr>
    </w:lvl>
    <w:lvl w:ilvl="5">
      <w:start w:val="1"/>
      <w:numFmt w:val="lowerRoman"/>
      <w:lvlText w:val="%2.%3.%4.%5.%6."/>
      <w:lvlJc w:val="right"/>
      <w:pPr>
        <w:tabs>
          <w:tab w:val="num" w:pos="4887"/>
        </w:tabs>
        <w:ind w:left="4887" w:hanging="180"/>
      </w:pPr>
    </w:lvl>
    <w:lvl w:ilvl="6">
      <w:start w:val="1"/>
      <w:numFmt w:val="decimal"/>
      <w:lvlText w:val="%2.%3.%4.%5.%6.%7."/>
      <w:lvlJc w:val="left"/>
      <w:pPr>
        <w:tabs>
          <w:tab w:val="num" w:pos="5607"/>
        </w:tabs>
        <w:ind w:left="5607" w:hanging="360"/>
      </w:pPr>
    </w:lvl>
    <w:lvl w:ilvl="7">
      <w:start w:val="1"/>
      <w:numFmt w:val="lowerLetter"/>
      <w:lvlText w:val="%2.%3.%4.%5.%6.%7.%8."/>
      <w:lvlJc w:val="left"/>
      <w:pPr>
        <w:tabs>
          <w:tab w:val="num" w:pos="6327"/>
        </w:tabs>
        <w:ind w:left="6327" w:hanging="360"/>
      </w:pPr>
    </w:lvl>
    <w:lvl w:ilvl="8">
      <w:start w:val="1"/>
      <w:numFmt w:val="lowerRoman"/>
      <w:lvlText w:val="%2.%3.%4.%5.%6.%7.%8.%9."/>
      <w:lvlJc w:val="right"/>
      <w:pPr>
        <w:tabs>
          <w:tab w:val="num" w:pos="7047"/>
        </w:tabs>
        <w:ind w:left="7047" w:hanging="180"/>
      </w:pPr>
    </w:lvl>
  </w:abstractNum>
  <w:abstractNum w:abstractNumId="5">
    <w:lvl w:ilvl="0">
      <w:start w:val="1"/>
      <w:numFmt w:val="lowerLetter"/>
      <w:lvlText w:val="%1"/>
      <w:lvlJc w:val="left"/>
      <w:pPr>
        <w:tabs>
          <w:tab w:val="num" w:pos="567"/>
        </w:tabs>
        <w:ind w:left="567" w:hanging="567"/>
      </w:pPr>
    </w:lvl>
    <w:lvl w:ilvl="1">
      <w:start w:val="1"/>
      <w:numFmt w:val="lowerLetter"/>
      <w:lvlText w:val="%2."/>
      <w:lvlJc w:val="left"/>
      <w:pPr>
        <w:tabs>
          <w:tab w:val="num" w:pos="2007"/>
        </w:tabs>
        <w:ind w:left="2007" w:hanging="360"/>
      </w:pPr>
    </w:lvl>
    <w:lvl w:ilvl="2">
      <w:start w:val="1"/>
      <w:numFmt w:val="lowerRoman"/>
      <w:lvlText w:val="%2.%3."/>
      <w:lvlJc w:val="right"/>
      <w:pPr>
        <w:tabs>
          <w:tab w:val="num" w:pos="2727"/>
        </w:tabs>
        <w:ind w:left="2727" w:hanging="180"/>
      </w:pPr>
    </w:lvl>
    <w:lvl w:ilvl="3">
      <w:start w:val="1"/>
      <w:numFmt w:val="decimal"/>
      <w:lvlText w:val="%2.%3.%4."/>
      <w:lvlJc w:val="left"/>
      <w:pPr>
        <w:tabs>
          <w:tab w:val="num" w:pos="3447"/>
        </w:tabs>
        <w:ind w:left="3447" w:hanging="360"/>
      </w:pPr>
    </w:lvl>
    <w:lvl w:ilvl="4">
      <w:start w:val="1"/>
      <w:numFmt w:val="lowerLetter"/>
      <w:lvlText w:val="%2.%3.%4.%5."/>
      <w:lvlJc w:val="left"/>
      <w:pPr>
        <w:tabs>
          <w:tab w:val="num" w:pos="4167"/>
        </w:tabs>
        <w:ind w:left="4167" w:hanging="360"/>
      </w:pPr>
    </w:lvl>
    <w:lvl w:ilvl="5">
      <w:start w:val="1"/>
      <w:numFmt w:val="lowerRoman"/>
      <w:lvlText w:val="%2.%3.%4.%5.%6."/>
      <w:lvlJc w:val="right"/>
      <w:pPr>
        <w:tabs>
          <w:tab w:val="num" w:pos="4887"/>
        </w:tabs>
        <w:ind w:left="4887" w:hanging="180"/>
      </w:pPr>
    </w:lvl>
    <w:lvl w:ilvl="6">
      <w:start w:val="1"/>
      <w:numFmt w:val="decimal"/>
      <w:lvlText w:val="%2.%3.%4.%5.%6.%7."/>
      <w:lvlJc w:val="left"/>
      <w:pPr>
        <w:tabs>
          <w:tab w:val="num" w:pos="5607"/>
        </w:tabs>
        <w:ind w:left="5607" w:hanging="360"/>
      </w:pPr>
    </w:lvl>
    <w:lvl w:ilvl="7">
      <w:start w:val="1"/>
      <w:numFmt w:val="lowerLetter"/>
      <w:lvlText w:val="%2.%3.%4.%5.%6.%7.%8."/>
      <w:lvlJc w:val="left"/>
      <w:pPr>
        <w:tabs>
          <w:tab w:val="num" w:pos="6327"/>
        </w:tabs>
        <w:ind w:left="6327" w:hanging="360"/>
      </w:pPr>
    </w:lvl>
    <w:lvl w:ilvl="8">
      <w:start w:val="1"/>
      <w:numFmt w:val="lowerRoman"/>
      <w:lvlText w:val="%2.%3.%4.%5.%6.%7.%8.%9."/>
      <w:lvlJc w:val="right"/>
      <w:pPr>
        <w:tabs>
          <w:tab w:val="num" w:pos="7047"/>
        </w:tabs>
        <w:ind w:left="7047" w:hanging="180"/>
      </w:pPr>
    </w:lvl>
  </w:abstractNum>
  <w:abstractNum w:abstractNumId="6">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lvl w:ilvl="0">
      <w:start w:val="1"/>
      <w:numFmt w:val="lowerLetter"/>
      <w:lvlText w:val="%1"/>
      <w:lvlJc w:val="left"/>
      <w:pPr>
        <w:ind w:left="927" w:hanging="567"/>
      </w:pPr>
      <w:rPr>
        <w:b w:val="fals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lvl w:ilvl="0">
      <w:start w:val="1"/>
      <w:numFmt w:val="lowerLetter"/>
      <w:lvlText w:val="%1"/>
      <w:lvlJc w:val="left"/>
      <w:pPr>
        <w:tabs>
          <w:tab w:val="num" w:pos="567"/>
        </w:tabs>
        <w:ind w:left="567" w:hanging="567"/>
      </w:pPr>
    </w:lvl>
    <w:lvl w:ilvl="1">
      <w:start w:val="1"/>
      <w:numFmt w:val="lowerLetter"/>
      <w:lvlText w:val="%2."/>
      <w:lvlJc w:val="left"/>
      <w:pPr>
        <w:tabs>
          <w:tab w:val="num" w:pos="873"/>
        </w:tabs>
        <w:ind w:left="873" w:hanging="360"/>
      </w:pPr>
    </w:lvl>
    <w:lvl w:ilvl="2">
      <w:start w:val="1"/>
      <w:numFmt w:val="lowerRoman"/>
      <w:lvlText w:val="%2.%3."/>
      <w:lvlJc w:val="right"/>
      <w:pPr>
        <w:tabs>
          <w:tab w:val="num" w:pos="1593"/>
        </w:tabs>
        <w:ind w:left="1593" w:hanging="180"/>
      </w:pPr>
    </w:lvl>
    <w:lvl w:ilvl="3">
      <w:start w:val="1"/>
      <w:numFmt w:val="decimal"/>
      <w:lvlText w:val="%2.%3.%4."/>
      <w:lvlJc w:val="left"/>
      <w:pPr>
        <w:tabs>
          <w:tab w:val="num" w:pos="2313"/>
        </w:tabs>
        <w:ind w:left="2313" w:hanging="360"/>
      </w:pPr>
    </w:lvl>
    <w:lvl w:ilvl="4">
      <w:start w:val="1"/>
      <w:numFmt w:val="lowerLetter"/>
      <w:lvlText w:val="%2.%3.%4.%5."/>
      <w:lvlJc w:val="left"/>
      <w:pPr>
        <w:tabs>
          <w:tab w:val="num" w:pos="3033"/>
        </w:tabs>
        <w:ind w:left="3033" w:hanging="360"/>
      </w:pPr>
    </w:lvl>
    <w:lvl w:ilvl="5">
      <w:start w:val="1"/>
      <w:numFmt w:val="lowerRoman"/>
      <w:lvlText w:val="%2.%3.%4.%5.%6."/>
      <w:lvlJc w:val="right"/>
      <w:pPr>
        <w:tabs>
          <w:tab w:val="num" w:pos="3753"/>
        </w:tabs>
        <w:ind w:left="3753" w:hanging="180"/>
      </w:pPr>
    </w:lvl>
    <w:lvl w:ilvl="6">
      <w:start w:val="1"/>
      <w:numFmt w:val="decimal"/>
      <w:lvlText w:val="%2.%3.%4.%5.%6.%7."/>
      <w:lvlJc w:val="left"/>
      <w:pPr>
        <w:tabs>
          <w:tab w:val="num" w:pos="4473"/>
        </w:tabs>
        <w:ind w:left="4473" w:hanging="360"/>
      </w:pPr>
    </w:lvl>
    <w:lvl w:ilvl="7">
      <w:start w:val="1"/>
      <w:numFmt w:val="lowerLetter"/>
      <w:lvlText w:val="%2.%3.%4.%5.%6.%7.%8."/>
      <w:lvlJc w:val="left"/>
      <w:pPr>
        <w:tabs>
          <w:tab w:val="num" w:pos="5193"/>
        </w:tabs>
        <w:ind w:left="5193" w:hanging="360"/>
      </w:pPr>
    </w:lvl>
    <w:lvl w:ilvl="8">
      <w:start w:val="1"/>
      <w:numFmt w:val="lowerRoman"/>
      <w:lvlText w:val="%2.%3.%4.%5.%6.%7.%8.%9."/>
      <w:lvlJc w:val="right"/>
      <w:pPr>
        <w:tabs>
          <w:tab w:val="num" w:pos="5913"/>
        </w:tabs>
        <w:ind w:left="5913" w:hanging="180"/>
      </w:pPr>
    </w:lvl>
  </w:abstractNum>
  <w:abstractNum w:abstractNumId="11">
    <w:lvl w:ilvl="0">
      <w:start w:val="1"/>
      <w:numFmt w:val="lowerLetter"/>
      <w:lvlText w:val="%1"/>
      <w:lvlJc w:val="left"/>
      <w:pPr>
        <w:tabs>
          <w:tab w:val="num" w:pos="1134"/>
        </w:tabs>
        <w:ind w:left="1134" w:hanging="567"/>
      </w:pPr>
      <w:rPr>
        <w:b w:val="fals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lvl w:ilvl="0">
      <w:start w:val="1"/>
      <w:numFmt w:val="lowerLetter"/>
      <w:lvlText w:val="%1"/>
      <w:lvlJc w:val="left"/>
      <w:pPr>
        <w:tabs>
          <w:tab w:val="num" w:pos="1134"/>
        </w:tabs>
        <w:ind w:left="1134" w:hanging="567"/>
      </w:pPr>
      <w:rPr>
        <w:b w:val="fals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lvl w:ilvl="0">
      <w:start w:val="1"/>
      <w:numFmt w:val="lowerLetter"/>
      <w:lvlText w:val="%1"/>
      <w:lvlJc w:val="left"/>
      <w:pPr>
        <w:tabs>
          <w:tab w:val="num" w:pos="1701"/>
        </w:tabs>
        <w:ind w:left="1701" w:hanging="567"/>
      </w:pPr>
    </w:lvl>
    <w:lvl w:ilvl="1">
      <w:start w:val="1"/>
      <w:numFmt w:val="lowerLetter"/>
      <w:lvlText w:val="%2."/>
      <w:lvlJc w:val="left"/>
      <w:pPr>
        <w:tabs>
          <w:tab w:val="num" w:pos="2007"/>
        </w:tabs>
        <w:ind w:left="2007" w:hanging="360"/>
      </w:pPr>
    </w:lvl>
    <w:lvl w:ilvl="2">
      <w:start w:val="1"/>
      <w:numFmt w:val="lowerRoman"/>
      <w:lvlText w:val="%2.%3."/>
      <w:lvlJc w:val="right"/>
      <w:pPr>
        <w:tabs>
          <w:tab w:val="num" w:pos="2727"/>
        </w:tabs>
        <w:ind w:left="2727" w:hanging="180"/>
      </w:pPr>
    </w:lvl>
    <w:lvl w:ilvl="3">
      <w:start w:val="1"/>
      <w:numFmt w:val="decimal"/>
      <w:lvlText w:val="%2.%3.%4."/>
      <w:lvlJc w:val="left"/>
      <w:pPr>
        <w:tabs>
          <w:tab w:val="num" w:pos="3447"/>
        </w:tabs>
        <w:ind w:left="3447" w:hanging="360"/>
      </w:pPr>
    </w:lvl>
    <w:lvl w:ilvl="4">
      <w:start w:val="1"/>
      <w:numFmt w:val="lowerLetter"/>
      <w:lvlText w:val="%2.%3.%4.%5."/>
      <w:lvlJc w:val="left"/>
      <w:pPr>
        <w:tabs>
          <w:tab w:val="num" w:pos="4167"/>
        </w:tabs>
        <w:ind w:left="4167" w:hanging="360"/>
      </w:pPr>
    </w:lvl>
    <w:lvl w:ilvl="5">
      <w:start w:val="1"/>
      <w:numFmt w:val="lowerRoman"/>
      <w:lvlText w:val="%2.%3.%4.%5.%6."/>
      <w:lvlJc w:val="right"/>
      <w:pPr>
        <w:tabs>
          <w:tab w:val="num" w:pos="4887"/>
        </w:tabs>
        <w:ind w:left="4887" w:hanging="180"/>
      </w:pPr>
    </w:lvl>
    <w:lvl w:ilvl="6">
      <w:start w:val="1"/>
      <w:numFmt w:val="decimal"/>
      <w:lvlText w:val="%2.%3.%4.%5.%6.%7."/>
      <w:lvlJc w:val="left"/>
      <w:pPr>
        <w:tabs>
          <w:tab w:val="num" w:pos="5607"/>
        </w:tabs>
        <w:ind w:left="5607" w:hanging="360"/>
      </w:pPr>
    </w:lvl>
    <w:lvl w:ilvl="7">
      <w:start w:val="1"/>
      <w:numFmt w:val="lowerLetter"/>
      <w:lvlText w:val="%2.%3.%4.%5.%6.%7.%8."/>
      <w:lvlJc w:val="left"/>
      <w:pPr>
        <w:tabs>
          <w:tab w:val="num" w:pos="6327"/>
        </w:tabs>
        <w:ind w:left="6327" w:hanging="360"/>
      </w:pPr>
    </w:lvl>
    <w:lvl w:ilvl="8">
      <w:start w:val="1"/>
      <w:numFmt w:val="lowerRoman"/>
      <w:lvlText w:val="%2.%3.%4.%5.%6.%7.%8.%9."/>
      <w:lvlJc w:val="right"/>
      <w:pPr>
        <w:tabs>
          <w:tab w:val="num" w:pos="7047"/>
        </w:tabs>
        <w:ind w:left="7047" w:hanging="180"/>
      </w:pPr>
    </w:lvl>
  </w:abstractNum>
  <w:abstractNum w:abstractNumId="15">
    <w:lvl w:ilvl="0">
      <w:start w:val="1"/>
      <w:numFmt w:val="lowerLetter"/>
      <w:lvlText w:val="%1"/>
      <w:lvlJc w:val="left"/>
      <w:pPr>
        <w:tabs>
          <w:tab w:val="num" w:pos="567"/>
        </w:tabs>
        <w:ind w:left="567" w:hanging="567"/>
      </w:pPr>
    </w:lvl>
    <w:lvl w:ilvl="1">
      <w:start w:val="1"/>
      <w:numFmt w:val="lowerLetter"/>
      <w:lvlText w:val="%2."/>
      <w:lvlJc w:val="left"/>
      <w:pPr>
        <w:tabs>
          <w:tab w:val="num" w:pos="873"/>
        </w:tabs>
        <w:ind w:left="873" w:hanging="360"/>
      </w:pPr>
    </w:lvl>
    <w:lvl w:ilvl="2">
      <w:start w:val="1"/>
      <w:numFmt w:val="lowerRoman"/>
      <w:lvlText w:val="%2.%3."/>
      <w:lvlJc w:val="right"/>
      <w:pPr>
        <w:tabs>
          <w:tab w:val="num" w:pos="1593"/>
        </w:tabs>
        <w:ind w:left="1593" w:hanging="180"/>
      </w:pPr>
    </w:lvl>
    <w:lvl w:ilvl="3">
      <w:start w:val="1"/>
      <w:numFmt w:val="decimal"/>
      <w:lvlText w:val="%2.%3.%4."/>
      <w:lvlJc w:val="left"/>
      <w:pPr>
        <w:tabs>
          <w:tab w:val="num" w:pos="2313"/>
        </w:tabs>
        <w:ind w:left="2313" w:hanging="360"/>
      </w:pPr>
    </w:lvl>
    <w:lvl w:ilvl="4">
      <w:start w:val="1"/>
      <w:numFmt w:val="lowerLetter"/>
      <w:lvlText w:val="%2.%3.%4.%5."/>
      <w:lvlJc w:val="left"/>
      <w:pPr>
        <w:tabs>
          <w:tab w:val="num" w:pos="3033"/>
        </w:tabs>
        <w:ind w:left="3033" w:hanging="360"/>
      </w:pPr>
    </w:lvl>
    <w:lvl w:ilvl="5">
      <w:start w:val="1"/>
      <w:numFmt w:val="lowerRoman"/>
      <w:lvlText w:val="%2.%3.%4.%5.%6."/>
      <w:lvlJc w:val="right"/>
      <w:pPr>
        <w:tabs>
          <w:tab w:val="num" w:pos="3753"/>
        </w:tabs>
        <w:ind w:left="3753" w:hanging="180"/>
      </w:pPr>
    </w:lvl>
    <w:lvl w:ilvl="6">
      <w:start w:val="1"/>
      <w:numFmt w:val="decimal"/>
      <w:lvlText w:val="%2.%3.%4.%5.%6.%7."/>
      <w:lvlJc w:val="left"/>
      <w:pPr>
        <w:tabs>
          <w:tab w:val="num" w:pos="4473"/>
        </w:tabs>
        <w:ind w:left="4473" w:hanging="360"/>
      </w:pPr>
    </w:lvl>
    <w:lvl w:ilvl="7">
      <w:start w:val="1"/>
      <w:numFmt w:val="lowerLetter"/>
      <w:lvlText w:val="%2.%3.%4.%5.%6.%7.%8."/>
      <w:lvlJc w:val="left"/>
      <w:pPr>
        <w:tabs>
          <w:tab w:val="num" w:pos="5193"/>
        </w:tabs>
        <w:ind w:left="5193" w:hanging="360"/>
      </w:pPr>
    </w:lvl>
    <w:lvl w:ilvl="8">
      <w:start w:val="1"/>
      <w:numFmt w:val="lowerRoman"/>
      <w:lvlText w:val="%2.%3.%4.%5.%6.%7.%8.%9."/>
      <w:lvlJc w:val="right"/>
      <w:pPr>
        <w:tabs>
          <w:tab w:val="num" w:pos="5913"/>
        </w:tabs>
        <w:ind w:left="5913" w:hanging="180"/>
      </w:pPr>
    </w:lvl>
  </w:abstractNum>
  <w:abstractNum w:abstractNumId="1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lvl w:ilvl="0">
      <w:start w:val="1"/>
      <w:numFmt w:val="lowerRoman"/>
      <w:lvlText w:val="%1."/>
      <w:lvlJc w:val="left"/>
      <w:pPr>
        <w:tabs>
          <w:tab w:val="num" w:pos="1701"/>
        </w:tabs>
        <w:ind w:left="1701" w:hanging="567"/>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lvl w:ilvl="0">
      <w:start w:val="1"/>
      <w:numFmt w:val="lowerRoman"/>
      <w:lvlText w:val="%1."/>
      <w:lvlJc w:val="right"/>
      <w:pPr>
        <w:ind w:left="720" w:hanging="360"/>
      </w:pPr>
    </w:lvl>
    <w:lvl w:ilvl="1">
      <w:start w:val="1"/>
      <w:numFmt w:val="lowerRoman"/>
      <w:lvlText w:val="%2."/>
      <w:lvlJc w:val="left"/>
      <w:pPr>
        <w:ind w:left="1701" w:hanging="567"/>
      </w:pPr>
    </w:lvl>
    <w:lvl w:ilvl="2">
      <w:start w:val="1"/>
      <w:numFmt w:val="lowerRoman"/>
      <w:lvlText w:val="%2.%3."/>
      <w:lvlJc w:val="left"/>
      <w:pPr>
        <w:ind w:left="2160" w:hanging="180"/>
      </w:pPr>
    </w:lvl>
    <w:lvl w:ilvl="3">
      <w:start w:val="1"/>
      <w:numFmt w:val="decimal"/>
      <w:lvlText w:val="%2.%3.%4."/>
      <w:lvlJc w:val="left"/>
      <w:pPr>
        <w:ind w:left="2880" w:hanging="360"/>
      </w:pPr>
    </w:lvl>
    <w:lvl w:ilvl="4">
      <w:start w:val="4"/>
      <w:numFmt w:val="lowerRoman"/>
      <w:lvlText w:val="(%2.%3.%4.%5)"/>
      <w:lvlJc w:val="left"/>
      <w:pPr>
        <w:ind w:left="3960" w:hanging="720"/>
      </w:pPr>
    </w:lvl>
    <w:lvl w:ilvl="5">
      <w:start w:val="2"/>
      <w:numFmt w:val="lowerLetter"/>
      <w:lvlText w:val="%2.%3.%4.%5.%6."/>
      <w:lvlJc w:val="left"/>
      <w:pPr>
        <w:ind w:left="450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lvl w:ilvl="0">
      <w:start w:val="1"/>
      <w:numFmt w:val="lowerLetter"/>
      <w:lvlText w:val="%1"/>
      <w:lvlJc w:val="left"/>
      <w:pPr>
        <w:ind w:left="1134" w:hanging="567"/>
      </w:pPr>
      <w:rPr>
        <w:b w:val="fals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lvl w:ilvl="0">
      <w:start w:val="1"/>
      <w:numFmt w:val="lowerLetter"/>
      <w:lvlText w:val="%1"/>
      <w:lvlJc w:val="left"/>
      <w:pPr>
        <w:ind w:left="567" w:hanging="567"/>
      </w:pPr>
      <w:rPr>
        <w:b w:val="fals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lvl w:ilvl="0">
      <w:start w:val="1"/>
      <w:numFmt w:val="lowerLetter"/>
      <w:lvlText w:val="%1"/>
      <w:lvlJc w:val="left"/>
      <w:pPr>
        <w:ind w:left="1134" w:hanging="567"/>
      </w:pPr>
    </w:lvl>
    <w:lvl w:ilvl="1">
      <w:start w:val="1"/>
      <w:numFmt w:val="lowerRoman"/>
      <w:lvlText w:val="%2."/>
      <w:lvlJc w:val="left"/>
      <w:pPr>
        <w:ind w:left="1701" w:hanging="567"/>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rPr>
        <w:i w:val="false"/>
        <w:b w:val="false"/>
      </w:rPr>
    </w:lvl>
    <w:lvl w:ilvl="2">
      <w:start w:val="1"/>
      <w:numFmt w:val="lowerRoman"/>
      <w:lvlText w:val="(%2.%3)"/>
      <w:lvlJc w:val="left"/>
      <w:pPr>
        <w:ind w:left="3267" w:hanging="720"/>
      </w:pPr>
    </w:lvl>
    <w:lvl w:ilvl="3">
      <w:start w:val="1"/>
      <w:numFmt w:val="decimal"/>
      <w:lvlText w:val="%2.%3.%4."/>
      <w:lvlJc w:val="left"/>
      <w:pPr>
        <w:tabs>
          <w:tab w:val="num" w:pos="3447"/>
        </w:tabs>
        <w:ind w:left="3447" w:hanging="360"/>
      </w:pPr>
    </w:lvl>
    <w:lvl w:ilvl="4">
      <w:start w:val="1"/>
      <w:numFmt w:val="lowerLetter"/>
      <w:lvlText w:val="%2.%3.%4.%5."/>
      <w:lvlJc w:val="left"/>
      <w:pPr>
        <w:tabs>
          <w:tab w:val="num" w:pos="4167"/>
        </w:tabs>
        <w:ind w:left="4167" w:hanging="360"/>
      </w:pPr>
    </w:lvl>
    <w:lvl w:ilvl="5">
      <w:start w:val="1"/>
      <w:numFmt w:val="lowerRoman"/>
      <w:lvlText w:val="%2.%3.%4.%5.%6."/>
      <w:lvlJc w:val="right"/>
      <w:pPr>
        <w:tabs>
          <w:tab w:val="num" w:pos="4887"/>
        </w:tabs>
        <w:ind w:left="4887" w:hanging="180"/>
      </w:pPr>
    </w:lvl>
    <w:lvl w:ilvl="6">
      <w:start w:val="1"/>
      <w:numFmt w:val="decimal"/>
      <w:lvlText w:val="%2.%3.%4.%5.%6.%7."/>
      <w:lvlJc w:val="left"/>
      <w:pPr>
        <w:tabs>
          <w:tab w:val="num" w:pos="5607"/>
        </w:tabs>
        <w:ind w:left="5607" w:hanging="360"/>
      </w:pPr>
    </w:lvl>
    <w:lvl w:ilvl="7">
      <w:start w:val="1"/>
      <w:numFmt w:val="lowerLetter"/>
      <w:lvlText w:val="%2.%3.%4.%5.%6.%7.%8."/>
      <w:lvlJc w:val="left"/>
      <w:pPr>
        <w:tabs>
          <w:tab w:val="num" w:pos="6327"/>
        </w:tabs>
        <w:ind w:left="6327" w:hanging="360"/>
      </w:pPr>
    </w:lvl>
    <w:lvl w:ilvl="8">
      <w:start w:val="1"/>
      <w:numFmt w:val="lowerRoman"/>
      <w:lvlText w:val="%2.%3.%4.%5.%6.%7.%8.%9."/>
      <w:lvlJc w:val="right"/>
      <w:pPr>
        <w:tabs>
          <w:tab w:val="num" w:pos="7047"/>
        </w:tabs>
        <w:ind w:left="7047" w:hanging="180"/>
      </w:pPr>
    </w:lvl>
  </w:abstractNum>
  <w:abstractNum w:abstractNumId="26">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2.%3."/>
      <w:lvlJc w:val="right"/>
      <w:pPr>
        <w:ind w:left="459" w:hanging="180"/>
      </w:pPr>
    </w:lvl>
    <w:lvl w:ilvl="3">
      <w:start w:val="1"/>
      <w:numFmt w:val="decimal"/>
      <w:lvlText w:val="%2.%3.%4."/>
      <w:lvlJc w:val="left"/>
      <w:pPr>
        <w:ind w:left="1179" w:hanging="360"/>
      </w:pPr>
    </w:lvl>
    <w:lvl w:ilvl="4">
      <w:start w:val="1"/>
      <w:numFmt w:val="lowerLetter"/>
      <w:lvlText w:val="%2.%3.%4.%5."/>
      <w:lvlJc w:val="left"/>
      <w:pPr>
        <w:ind w:left="1899" w:hanging="360"/>
      </w:pPr>
    </w:lvl>
    <w:lvl w:ilvl="5">
      <w:start w:val="1"/>
      <w:numFmt w:val="lowerRoman"/>
      <w:lvlText w:val="%2.%3.%4.%5.%6."/>
      <w:lvlJc w:val="right"/>
      <w:pPr>
        <w:ind w:left="2619" w:hanging="180"/>
      </w:pPr>
    </w:lvl>
    <w:lvl w:ilvl="6">
      <w:start w:val="1"/>
      <w:numFmt w:val="decimal"/>
      <w:lvlText w:val="%2.%3.%4.%5.%6.%7."/>
      <w:lvlJc w:val="left"/>
      <w:pPr>
        <w:ind w:left="3339" w:hanging="360"/>
      </w:pPr>
    </w:lvl>
    <w:lvl w:ilvl="7">
      <w:start w:val="1"/>
      <w:numFmt w:val="lowerLetter"/>
      <w:lvlText w:val="%2.%3.%4.%5.%6.%7.%8."/>
      <w:lvlJc w:val="left"/>
      <w:pPr>
        <w:ind w:left="4059" w:hanging="360"/>
      </w:pPr>
    </w:lvl>
    <w:lvl w:ilvl="8">
      <w:start w:val="1"/>
      <w:numFmt w:val="lowerRoman"/>
      <w:lvlText w:val="%2.%3.%4.%5.%6.%7.%8.%9."/>
      <w:lvlJc w:val="right"/>
      <w:pPr>
        <w:ind w:left="4779" w:hanging="18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lvl w:ilvl="0">
      <w:start w:val="1"/>
      <w:numFmt w:val="lowerLetter"/>
      <w:lvlText w:val="%1"/>
      <w:lvlJc w:val="left"/>
      <w:pPr>
        <w:ind w:left="-981" w:hanging="360"/>
      </w:pPr>
    </w:lvl>
    <w:lvl w:ilvl="1">
      <w:start w:val="1"/>
      <w:numFmt w:val="lowerLetter"/>
      <w:lvlText w:val="%2."/>
      <w:lvlJc w:val="left"/>
      <w:pPr>
        <w:ind w:left="-261" w:hanging="360"/>
      </w:pPr>
    </w:lvl>
    <w:lvl w:ilvl="2">
      <w:start w:val="1"/>
      <w:numFmt w:val="lowerRoman"/>
      <w:lvlText w:val="%2.%3."/>
      <w:lvlJc w:val="right"/>
      <w:pPr>
        <w:ind w:left="459" w:hanging="180"/>
      </w:pPr>
    </w:lvl>
    <w:lvl w:ilvl="3">
      <w:start w:val="1"/>
      <w:numFmt w:val="decimal"/>
      <w:lvlText w:val="%2.%3.%4."/>
      <w:lvlJc w:val="left"/>
      <w:pPr>
        <w:ind w:left="1179" w:hanging="360"/>
      </w:pPr>
    </w:lvl>
    <w:lvl w:ilvl="4">
      <w:start w:val="1"/>
      <w:numFmt w:val="lowerLetter"/>
      <w:lvlText w:val="%2.%3.%4.%5."/>
      <w:lvlJc w:val="left"/>
      <w:pPr>
        <w:ind w:left="1899" w:hanging="360"/>
      </w:pPr>
    </w:lvl>
    <w:lvl w:ilvl="5">
      <w:start w:val="1"/>
      <w:numFmt w:val="lowerRoman"/>
      <w:lvlText w:val="%2.%3.%4.%5.%6."/>
      <w:lvlJc w:val="right"/>
      <w:pPr>
        <w:ind w:left="2619" w:hanging="180"/>
      </w:pPr>
    </w:lvl>
    <w:lvl w:ilvl="6">
      <w:start w:val="1"/>
      <w:numFmt w:val="decimal"/>
      <w:lvlText w:val="%2.%3.%4.%5.%6.%7."/>
      <w:lvlJc w:val="left"/>
      <w:pPr>
        <w:ind w:left="3339" w:hanging="360"/>
      </w:pPr>
    </w:lvl>
    <w:lvl w:ilvl="7">
      <w:start w:val="1"/>
      <w:numFmt w:val="lowerLetter"/>
      <w:lvlText w:val="%2.%3.%4.%5.%6.%7.%8."/>
      <w:lvlJc w:val="left"/>
      <w:pPr>
        <w:ind w:left="4059" w:hanging="360"/>
      </w:pPr>
    </w:lvl>
    <w:lvl w:ilvl="8">
      <w:start w:val="1"/>
      <w:numFmt w:val="lowerRoman"/>
      <w:lvlText w:val="%2.%3.%4.%5.%6.%7.%8.%9."/>
      <w:lvlJc w:val="right"/>
      <w:pPr>
        <w:ind w:left="4779" w:hanging="180"/>
      </w:pPr>
    </w:lvl>
  </w:abstractNum>
  <w:abstractNum w:abstractNumId="30">
    <w:lvl w:ilvl="0">
      <w:start w:val="1"/>
      <w:numFmt w:val="lowerRoman"/>
      <w:lvlText w:val="(%1)"/>
      <w:lvlJc w:val="left"/>
      <w:pPr>
        <w:ind w:left="1854" w:hanging="360"/>
      </w:pPr>
    </w:lvl>
    <w:lvl w:ilvl="1">
      <w:start w:val="2"/>
      <w:numFmt w:val="lowerLetter"/>
      <w:lvlText w:val="%2."/>
      <w:lvlJc w:val="left"/>
      <w:pPr>
        <w:ind w:left="2574" w:hanging="360"/>
      </w:pPr>
    </w:lvl>
    <w:lvl w:ilvl="2">
      <w:start w:val="1"/>
      <w:numFmt w:val="lowerRoman"/>
      <w:lvlText w:val="%2.%3."/>
      <w:lvlJc w:val="left"/>
      <w:pPr>
        <w:ind w:left="3294" w:hanging="180"/>
      </w:pPr>
    </w:lvl>
    <w:lvl w:ilvl="3">
      <w:start w:val="1"/>
      <w:numFmt w:val="decimal"/>
      <w:lvlText w:val="%2.%3.%4."/>
      <w:lvlJc w:val="left"/>
      <w:pPr>
        <w:ind w:left="4014" w:hanging="360"/>
      </w:pPr>
    </w:lvl>
    <w:lvl w:ilvl="4">
      <w:start w:val="1"/>
      <w:numFmt w:val="lowerLetter"/>
      <w:lvlText w:val="%2.%3.%4.%5."/>
      <w:lvlJc w:val="left"/>
      <w:pPr>
        <w:ind w:left="4734" w:hanging="360"/>
      </w:pPr>
    </w:lvl>
    <w:lvl w:ilvl="5">
      <w:start w:val="1"/>
      <w:numFmt w:val="lowerRoman"/>
      <w:lvlText w:val="%2.%3.%4.%5.%6."/>
      <w:lvlJc w:val="right"/>
      <w:pPr>
        <w:ind w:left="5454" w:hanging="180"/>
      </w:pPr>
    </w:lvl>
    <w:lvl w:ilvl="6">
      <w:start w:val="1"/>
      <w:numFmt w:val="decimal"/>
      <w:lvlText w:val="%2.%3.%4.%5.%6.%7."/>
      <w:lvlJc w:val="left"/>
      <w:pPr>
        <w:ind w:left="6174" w:hanging="360"/>
      </w:pPr>
    </w:lvl>
    <w:lvl w:ilvl="7">
      <w:start w:val="1"/>
      <w:numFmt w:val="lowerLetter"/>
      <w:lvlText w:val="%2.%3.%4.%5.%6.%7.%8."/>
      <w:lvlJc w:val="left"/>
      <w:pPr>
        <w:ind w:left="6894" w:hanging="360"/>
      </w:pPr>
    </w:lvl>
    <w:lvl w:ilvl="8">
      <w:start w:val="1"/>
      <w:numFmt w:val="lowerRoman"/>
      <w:lvlText w:val="%2.%3.%4.%5.%6.%7.%8.%9."/>
      <w:lvlJc w:val="right"/>
      <w:pPr>
        <w:ind w:left="7614" w:hanging="180"/>
      </w:pPr>
    </w:lvl>
  </w:abstractNum>
  <w:abstractNum w:abstractNumId="31">
    <w:lvl w:ilvl="0">
      <w:start w:val="1"/>
      <w:numFmt w:val="lowerRoman"/>
      <w:lvlText w:val="%1."/>
      <w:lvlJc w:val="left"/>
      <w:pPr>
        <w:ind w:left="2367" w:hanging="360"/>
      </w:pPr>
    </w:lvl>
    <w:lvl w:ilvl="1">
      <w:start w:val="1"/>
      <w:numFmt w:val="lowerLetter"/>
      <w:lvlText w:val="%2."/>
      <w:lvlJc w:val="left"/>
      <w:pPr>
        <w:ind w:left="3087" w:hanging="360"/>
      </w:pPr>
    </w:lvl>
    <w:lvl w:ilvl="2">
      <w:start w:val="1"/>
      <w:numFmt w:val="lowerRoman"/>
      <w:lvlText w:val="%2.%3."/>
      <w:lvlJc w:val="right"/>
      <w:pPr>
        <w:ind w:left="3807" w:hanging="180"/>
      </w:pPr>
    </w:lvl>
    <w:lvl w:ilvl="3">
      <w:start w:val="1"/>
      <w:numFmt w:val="decimal"/>
      <w:lvlText w:val="%2.%3.%4."/>
      <w:lvlJc w:val="left"/>
      <w:pPr>
        <w:ind w:left="4527" w:hanging="360"/>
      </w:pPr>
    </w:lvl>
    <w:lvl w:ilvl="4">
      <w:start w:val="1"/>
      <w:numFmt w:val="lowerLetter"/>
      <w:lvlText w:val="%2.%3.%4.%5."/>
      <w:lvlJc w:val="left"/>
      <w:pPr>
        <w:ind w:left="5247" w:hanging="360"/>
      </w:pPr>
    </w:lvl>
    <w:lvl w:ilvl="5">
      <w:start w:val="1"/>
      <w:numFmt w:val="lowerRoman"/>
      <w:lvlText w:val="%2.%3.%4.%5.%6."/>
      <w:lvlJc w:val="right"/>
      <w:pPr>
        <w:ind w:left="5967" w:hanging="180"/>
      </w:pPr>
    </w:lvl>
    <w:lvl w:ilvl="6">
      <w:start w:val="1"/>
      <w:numFmt w:val="decimal"/>
      <w:lvlText w:val="%2.%3.%4.%5.%6.%7."/>
      <w:lvlJc w:val="left"/>
      <w:pPr>
        <w:ind w:left="6687" w:hanging="360"/>
      </w:pPr>
    </w:lvl>
    <w:lvl w:ilvl="7">
      <w:start w:val="1"/>
      <w:numFmt w:val="lowerLetter"/>
      <w:lvlText w:val="%2.%3.%4.%5.%6.%7.%8."/>
      <w:lvlJc w:val="left"/>
      <w:pPr>
        <w:ind w:left="7407" w:hanging="360"/>
      </w:pPr>
    </w:lvl>
    <w:lvl w:ilvl="8">
      <w:start w:val="1"/>
      <w:numFmt w:val="lowerRoman"/>
      <w:lvlText w:val="%2.%3.%4.%5.%6.%7.%8.%9."/>
      <w:lvlJc w:val="right"/>
      <w:pPr>
        <w:ind w:left="8127" w:hanging="180"/>
      </w:pPr>
    </w:lvl>
  </w:abstractNum>
  <w:abstractNum w:abstractNumId="32">
    <w:lvl w:ilvl="0">
      <w:start w:val="19"/>
      <w:numFmt w:val="lowerLetter"/>
      <w:lvlText w:val="%1"/>
      <w:lvlJc w:val="left"/>
      <w:pPr>
        <w:tabs>
          <w:tab w:val="num" w:pos="1701"/>
        </w:tabs>
        <w:ind w:left="567" w:hanging="567"/>
      </w:pPr>
    </w:lvl>
    <w:lvl w:ilvl="1">
      <w:start w:val="1"/>
      <w:numFmt w:val="lowerLetter"/>
      <w:lvlText w:val="%2."/>
      <w:lvlJc w:val="left"/>
      <w:pPr>
        <w:ind w:left="306" w:hanging="360"/>
      </w:pPr>
    </w:lvl>
    <w:lvl w:ilvl="2">
      <w:start w:val="1"/>
      <w:numFmt w:val="lowerRoman"/>
      <w:lvlText w:val="%2.%3."/>
      <w:lvlJc w:val="right"/>
      <w:pPr>
        <w:ind w:left="1026" w:hanging="180"/>
      </w:pPr>
    </w:lvl>
    <w:lvl w:ilvl="3">
      <w:start w:val="1"/>
      <w:numFmt w:val="decimal"/>
      <w:lvlText w:val="%2.%3.%4."/>
      <w:lvlJc w:val="left"/>
      <w:pPr>
        <w:ind w:left="1746" w:hanging="360"/>
      </w:pPr>
    </w:lvl>
    <w:lvl w:ilvl="4">
      <w:start w:val="1"/>
      <w:numFmt w:val="lowerLetter"/>
      <w:lvlText w:val="%2.%3.%4.%5."/>
      <w:lvlJc w:val="left"/>
      <w:pPr>
        <w:ind w:left="2466" w:hanging="360"/>
      </w:pPr>
    </w:lvl>
    <w:lvl w:ilvl="5">
      <w:start w:val="1"/>
      <w:numFmt w:val="lowerRoman"/>
      <w:lvlText w:val="%2.%3.%4.%5.%6."/>
      <w:lvlJc w:val="right"/>
      <w:pPr>
        <w:ind w:left="3186" w:hanging="180"/>
      </w:pPr>
    </w:lvl>
    <w:lvl w:ilvl="6">
      <w:start w:val="1"/>
      <w:numFmt w:val="decimal"/>
      <w:lvlText w:val="%2.%3.%4.%5.%6.%7."/>
      <w:lvlJc w:val="left"/>
      <w:pPr>
        <w:ind w:left="3906" w:hanging="360"/>
      </w:pPr>
    </w:lvl>
    <w:lvl w:ilvl="7">
      <w:start w:val="1"/>
      <w:numFmt w:val="lowerLetter"/>
      <w:lvlText w:val="%2.%3.%4.%5.%6.%7.%8."/>
      <w:lvlJc w:val="left"/>
      <w:pPr>
        <w:ind w:left="4626" w:hanging="360"/>
      </w:pPr>
    </w:lvl>
    <w:lvl w:ilvl="8">
      <w:start w:val="1"/>
      <w:numFmt w:val="lowerRoman"/>
      <w:lvlText w:val="%2.%3.%4.%5.%6.%7.%8.%9."/>
      <w:lvlJc w:val="right"/>
      <w:pPr>
        <w:ind w:left="5346" w:hanging="180"/>
      </w:pPr>
    </w:lvl>
  </w:abstractNum>
  <w:abstractNum w:abstractNumId="33">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Fonts w:cs="Courier New"/>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Fonts w:cs="Courier New"/>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Fonts w:cs="Courier New"/>
      </w:rPr>
    </w:lvl>
    <w:lvl w:ilvl="8">
      <w:start w:val="1"/>
      <w:numFmt w:val="bullet"/>
      <w:lvlText w:val=""/>
      <w:lvlJc w:val="left"/>
      <w:pPr>
        <w:ind w:left="7254" w:hanging="360"/>
      </w:pPr>
      <w:rPr>
        <w:rFonts w:ascii="Wingdings" w:hAnsi="Wingdings" w:cs="Wingdings" w:hint="default"/>
      </w:rPr>
    </w:lvl>
  </w:abstractNum>
  <w:abstractNum w:abstractNumId="34">
    <w:lvl w:ilvl="0">
      <w:start w:val="1"/>
      <w:numFmt w:val="lowerLetter"/>
      <w:lvlText w:val="%1"/>
      <w:lvlJc w:val="left"/>
      <w:pPr>
        <w:tabs>
          <w:tab w:val="num" w:pos="567"/>
        </w:tabs>
        <w:ind w:left="567" w:hanging="567"/>
      </w:pPr>
      <w:rPr>
        <w:b w:val="fals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lvl w:ilvl="0">
      <w:start w:val="1"/>
      <w:numFmt w:val="lowerRoman"/>
      <w:lvlText w:val="%1."/>
      <w:lvlJc w:val="left"/>
      <w:pPr>
        <w:tabs>
          <w:tab w:val="num" w:pos="1134"/>
        </w:tabs>
        <w:ind w:left="1134" w:hanging="567"/>
      </w:pPr>
    </w:lvl>
    <w:lvl w:ilvl="1">
      <w:start w:val="1"/>
      <w:numFmt w:val="lowerLetter"/>
      <w:lvlText w:val="%2."/>
      <w:lvlJc w:val="left"/>
      <w:pPr>
        <w:ind w:left="2007" w:hanging="360"/>
      </w:pPr>
    </w:lvl>
    <w:lvl w:ilvl="2">
      <w:start w:val="1"/>
      <w:numFmt w:val="lowerRoman"/>
      <w:lvlText w:val="%2.%3."/>
      <w:lvlJc w:val="right"/>
      <w:pPr>
        <w:ind w:left="2727" w:hanging="180"/>
      </w:pPr>
    </w:lvl>
    <w:lvl w:ilvl="3">
      <w:start w:val="1"/>
      <w:numFmt w:val="decimal"/>
      <w:lvlText w:val="%2.%3.%4."/>
      <w:lvlJc w:val="left"/>
      <w:pPr>
        <w:ind w:left="3447" w:hanging="360"/>
      </w:pPr>
    </w:lvl>
    <w:lvl w:ilvl="4">
      <w:start w:val="1"/>
      <w:numFmt w:val="lowerLetter"/>
      <w:lvlText w:val="%2.%3.%4.%5."/>
      <w:lvlJc w:val="left"/>
      <w:pPr>
        <w:ind w:left="4167" w:hanging="360"/>
      </w:pPr>
    </w:lvl>
    <w:lvl w:ilvl="5">
      <w:start w:val="1"/>
      <w:numFmt w:val="lowerRoman"/>
      <w:lvlText w:val="%2.%3.%4.%5.%6."/>
      <w:lvlJc w:val="right"/>
      <w:pPr>
        <w:ind w:left="4887" w:hanging="180"/>
      </w:pPr>
    </w:lvl>
    <w:lvl w:ilvl="6">
      <w:start w:val="1"/>
      <w:numFmt w:val="decimal"/>
      <w:lvlText w:val="%2.%3.%4.%5.%6.%7."/>
      <w:lvlJc w:val="left"/>
      <w:pPr>
        <w:ind w:left="5607" w:hanging="360"/>
      </w:pPr>
    </w:lvl>
    <w:lvl w:ilvl="7">
      <w:start w:val="1"/>
      <w:numFmt w:val="lowerLetter"/>
      <w:lvlText w:val="%2.%3.%4.%5.%6.%7.%8."/>
      <w:lvlJc w:val="left"/>
      <w:pPr>
        <w:ind w:left="6327" w:hanging="360"/>
      </w:pPr>
    </w:lvl>
    <w:lvl w:ilvl="8">
      <w:start w:val="1"/>
      <w:numFmt w:val="lowerRoman"/>
      <w:lvlText w:val="%2.%3.%4.%5.%6.%7.%8.%9."/>
      <w:lvlJc w:val="right"/>
      <w:pPr>
        <w:ind w:left="7047" w:hanging="180"/>
      </w:pPr>
    </w:lvl>
  </w:abstractNum>
  <w:abstractNum w:abstractNumId="36">
    <w:lvl w:ilvl="0">
      <w:start w:val="1"/>
      <w:numFmt w:val="lowerLetter"/>
      <w:lvlText w:val="%1"/>
      <w:lvlJc w:val="left"/>
      <w:pPr>
        <w:ind w:left="360" w:hanging="360"/>
      </w:pPr>
      <w:rPr>
        <w:b w:val="false"/>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7">
    <w:lvl w:ilvl="0">
      <w:start w:val="1"/>
      <w:numFmt w:val="lowerLetter"/>
      <w:lvlText w:val="%1"/>
      <w:lvlJc w:val="left"/>
      <w:pPr>
        <w:ind w:left="502" w:hanging="360"/>
      </w:pPr>
      <w:rPr>
        <w:b w:val="false"/>
      </w:r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abstractNum w:abstractNumId="38">
    <w:lvl w:ilvl="0">
      <w:start w:val="1"/>
      <w:numFmt w:val="lowerLetter"/>
      <w:lvlText w:val="%1"/>
      <w:lvlJc w:val="left"/>
      <w:pPr>
        <w:tabs>
          <w:tab w:val="num" w:pos="567"/>
        </w:tabs>
        <w:ind w:left="567" w:hanging="567"/>
      </w:pPr>
      <w:rPr>
        <w:b w:val="false"/>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en-GB" w:eastAsia="en-GB" w:bidi="ar-SA"/>
      </w:rPr>
    </w:rPrDefault>
    <w:pPrDefault>
      <w:pPr/>
    </w:pPrDefault>
  </w:docDefaults>
  <w:style w:type="paragraph" w:styleId="Normal">
    <w:name w:val="Normal"/>
    <w:qFormat/>
    <w:pPr>
      <w:widowControl/>
      <w:numPr>
        <w:ilvl w:val="0"/>
        <w:numId w:val="0"/>
      </w:numPr>
      <w:kinsoku w:val="true"/>
      <w:overflowPunct w:val="true"/>
      <w:autoSpaceDE w:val="true"/>
      <w:bidi w:val="0"/>
    </w:pPr>
    <w:rPr>
      <w:rFonts w:ascii="Calibri" w:hAnsi="Calibri" w:cs="Calibri" w:eastAsia="Times New Roman"/>
      <w:color w:val="000000"/>
      <w:sz w:val="24"/>
      <w:szCs w:val="24"/>
      <w:lang w:eastAsia="en-US" w:val="en-GB" w:bidi="ar-SA"/>
    </w:rPr>
  </w:style>
  <w:style w:type="paragraph" w:styleId="Heading1">
    <w:name w:val="Heading 1"/>
    <w:basedOn w:val="Normal"/>
    <w:next w:val="TextBody"/>
    <w:qFormat/>
    <w:pPr>
      <w:keepNext/>
      <w:keepLines/>
      <w:numPr>
        <w:ilvl w:val="0"/>
        <w:numId w:val="1"/>
      </w:numPr>
      <w:spacing w:before="240" w:after="0"/>
      <w:outlineLvl w:val="0"/>
      <w:outlineLvl w:val="0"/>
    </w:pPr>
    <w:rPr>
      <w:rFonts w:ascii="Gotham Bold" w:hAnsi="Gotham Bold"/>
      <w:bCs/>
      <w:color w:val="000000"/>
      <w:sz w:val="22"/>
      <w:szCs w:val="28"/>
    </w:rPr>
  </w:style>
  <w:style w:type="paragraph" w:styleId="Heading2">
    <w:name w:val="Heading 2"/>
    <w:basedOn w:val="Normal"/>
    <w:next w:val="TextBody"/>
    <w:qFormat/>
    <w:pPr>
      <w:keepNext/>
      <w:keepLines/>
      <w:numPr>
        <w:ilvl w:val="1"/>
        <w:numId w:val="1"/>
      </w:numPr>
      <w:spacing w:before="200" w:after="0"/>
      <w:outlineLvl w:val="1"/>
      <w:outlineLvl w:val="1"/>
    </w:pPr>
    <w:rPr>
      <w:rFonts w:ascii="Cambria" w:hAnsi="Cambria"/>
      <w:b/>
      <w:bCs/>
      <w:color w:val="4F81BD"/>
      <w:sz w:val="26"/>
      <w:szCs w:val="26"/>
    </w:rPr>
  </w:style>
  <w:style w:type="paragraph" w:styleId="Heading3">
    <w:name w:val="Heading 3"/>
    <w:basedOn w:val="Normal"/>
    <w:next w:val="TextBody"/>
    <w:qFormat/>
    <w:pPr>
      <w:keepNext/>
      <w:keepLines/>
      <w:numPr>
        <w:ilvl w:val="2"/>
        <w:numId w:val="1"/>
      </w:numPr>
      <w:spacing w:before="200" w:after="0"/>
      <w:outlineLvl w:val="2"/>
      <w:outlineLvl w:val="2"/>
    </w:pPr>
    <w:rPr>
      <w:rFonts w:ascii="Cambria" w:hAnsi="Cambria"/>
      <w:b/>
      <w:bCs/>
      <w:color w:val="4F81BD"/>
    </w:rPr>
  </w:style>
  <w:style w:type="character" w:styleId="DefaultParagraphFont">
    <w:name w:val="Default Paragraph Font"/>
    <w:qFormat/>
    <w:rPr/>
  </w:style>
  <w:style w:type="character" w:styleId="Heading1Char">
    <w:name w:val="Heading 1 Char"/>
    <w:basedOn w:val="DefaultParagraphFont"/>
    <w:qFormat/>
    <w:rPr>
      <w:rFonts w:ascii="Gotham Bold" w:hAnsi="Gotham Bold"/>
      <w:bCs/>
      <w:color w:val="000000"/>
      <w:sz w:val="22"/>
      <w:szCs w:val="28"/>
      <w:lang w:eastAsia="en-US"/>
    </w:rPr>
  </w:style>
  <w:style w:type="character" w:styleId="Heading2Char">
    <w:name w:val="Heading 2 Char"/>
    <w:basedOn w:val="DefaultParagraphFont"/>
    <w:qFormat/>
    <w:rPr>
      <w:rFonts w:ascii="Cambria" w:hAnsi="Cambria"/>
      <w:b/>
      <w:bCs/>
      <w:color w:val="4F81BD"/>
      <w:sz w:val="26"/>
      <w:szCs w:val="26"/>
      <w:lang w:eastAsia="en-US"/>
    </w:rPr>
  </w:style>
  <w:style w:type="character" w:styleId="Heading3Char">
    <w:name w:val="Heading 3 Char"/>
    <w:basedOn w:val="DefaultParagraphFont"/>
    <w:qFormat/>
    <w:rPr>
      <w:rFonts w:ascii="Cambria" w:hAnsi="Cambria"/>
      <w:b/>
      <w:bCs/>
      <w:color w:val="4F81BD"/>
      <w:sz w:val="24"/>
      <w:lang w:eastAsia="en-US"/>
    </w:rPr>
  </w:style>
  <w:style w:type="character" w:styleId="FooterChar">
    <w:name w:val="Footer Char"/>
    <w:basedOn w:val="DefaultParagraphFont"/>
    <w:qFormat/>
    <w:rPr>
      <w:sz w:val="24"/>
      <w:lang w:eastAsia="en-US"/>
    </w:rPr>
  </w:style>
  <w:style w:type="character" w:styleId="Pagenumber">
    <w:name w:val="page number"/>
    <w:basedOn w:val="DefaultParagraphFont"/>
    <w:qFormat/>
    <w:rPr/>
  </w:style>
  <w:style w:type="character" w:styleId="HeaderChar">
    <w:name w:val="Header Char"/>
    <w:basedOn w:val="DefaultParagraphFont"/>
    <w:qFormat/>
    <w:rPr>
      <w:sz w:val="24"/>
      <w:lang w:eastAsia="en-US"/>
    </w:rPr>
  </w:style>
  <w:style w:type="character" w:styleId="BalloonTextChar">
    <w:name w:val="Balloon Text Char"/>
    <w:basedOn w:val="DefaultParagraphFont"/>
    <w:qFormat/>
    <w:rPr>
      <w:rFonts w:ascii="Tahoma" w:hAnsi="Tahoma" w:cs="Tahoma"/>
      <w:sz w:val="16"/>
      <w:szCs w:val="16"/>
      <w:lang w:eastAsia="en-US"/>
    </w:rPr>
  </w:style>
  <w:style w:type="character" w:styleId="Emphasis">
    <w:name w:val="Emphasis"/>
    <w:qFormat/>
    <w:rPr>
      <w:i/>
      <w:iCs/>
    </w:rPr>
  </w:style>
  <w:style w:type="character" w:styleId="FootnoteTextChar">
    <w:name w:val="Footnote Text Char"/>
    <w:basedOn w:val="DefaultParagraphFont"/>
    <w:qFormat/>
    <w:rPr>
      <w:lang w:eastAsia="en-US"/>
    </w:rPr>
  </w:style>
  <w:style w:type="character" w:styleId="Footnotereference">
    <w:name w:val="footnote reference"/>
    <w:basedOn w:val="DefaultParagraphFont"/>
    <w:qFormat/>
    <w:rPr>
      <w:vertAlign w:val="superscript"/>
    </w:rPr>
  </w:style>
  <w:style w:type="character" w:styleId="EndnoteTextChar">
    <w:name w:val="Endnote Text Char"/>
    <w:basedOn w:val="DefaultParagraphFont"/>
    <w:qFormat/>
    <w:rPr>
      <w:lang w:eastAsia="en-US"/>
    </w:rPr>
  </w:style>
  <w:style w:type="character" w:styleId="Endnotereference">
    <w:name w:val="endnote reference"/>
    <w:basedOn w:val="DefaultParagraphFont"/>
    <w:qFormat/>
    <w:rPr>
      <w:vertAlign w:val="superscript"/>
    </w:rPr>
  </w:style>
  <w:style w:type="character" w:styleId="BodyTextChar">
    <w:name w:val="Body Text Char"/>
    <w:basedOn w:val="DefaultParagraphFont"/>
    <w:qFormat/>
    <w:rPr>
      <w:sz w:val="24"/>
      <w:szCs w:val="24"/>
      <w:lang w:val="en-US" w:eastAsia="ar-SA"/>
    </w:rPr>
  </w:style>
  <w:style w:type="character" w:styleId="C141">
    <w:name w:val="c141"/>
    <w:qFormat/>
    <w:rPr>
      <w:rFonts w:ascii="Arial" w:hAnsi="Arial" w:cs="Arial"/>
      <w:b w:val="false"/>
      <w:bCs w:val="false"/>
      <w:i w:val="false"/>
      <w:iCs w:val="false"/>
      <w:strike w:val="false"/>
      <w:dstrike w:val="false"/>
      <w:color w:val="000000"/>
      <w:sz w:val="20"/>
      <w:szCs w:val="20"/>
      <w:u w:val="none"/>
      <w:effect w:val="none"/>
    </w:rPr>
  </w:style>
  <w:style w:type="character" w:styleId="C171">
    <w:name w:val="c171"/>
    <w:qFormat/>
    <w:rPr>
      <w:rFonts w:ascii="Arial" w:hAnsi="Arial" w:cs="Arial"/>
      <w:b w:val="false"/>
      <w:bCs w:val="false"/>
      <w:i w:val="false"/>
      <w:iCs w:val="false"/>
      <w:strike w:val="false"/>
      <w:dstrike w:val="false"/>
      <w:color w:val="000000"/>
      <w:sz w:val="24"/>
      <w:szCs w:val="24"/>
      <w:u w:val="none"/>
      <w:effect w:val="none"/>
    </w:rPr>
  </w:style>
  <w:style w:type="character" w:styleId="StrongEmphasis">
    <w:name w:val="Strong Emphasis"/>
    <w:rPr>
      <w:b/>
      <w:bCs/>
    </w:rPr>
  </w:style>
  <w:style w:type="character" w:styleId="InternetLink">
    <w:name w:val="Internet Link"/>
    <w:basedOn w:val="DefaultParagraphFont"/>
    <w:rPr>
      <w:color w:val="0000FF"/>
      <w:u w:val="single"/>
      <w:lang w:val="zxx" w:eastAsia="zxx" w:bidi="zxx"/>
    </w:rPr>
  </w:style>
  <w:style w:type="character" w:styleId="Head1Char">
    <w:name w:val="Head 1 Char"/>
    <w:qFormat/>
    <w:rPr>
      <w:rFonts w:ascii="Arial" w:hAnsi="Arial" w:cs="Arial"/>
      <w:b/>
      <w:color w:val="000000"/>
      <w:sz w:val="40"/>
      <w:szCs w:val="40"/>
      <w:lang w:eastAsia="en-US" w:bidi="en-US"/>
    </w:rPr>
  </w:style>
  <w:style w:type="character" w:styleId="FollowedHyperlink">
    <w:name w:val="FollowedHyperlink"/>
    <w:basedOn w:val="DefaultParagraphFont"/>
    <w:qFormat/>
    <w:rPr>
      <w:color w:val="800080"/>
      <w:u w:val="single"/>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lang w:eastAsia="en-US"/>
    </w:rPr>
  </w:style>
  <w:style w:type="character" w:styleId="CommentSubjectChar">
    <w:name w:val="Comment Subject Char"/>
    <w:basedOn w:val="CommentTextChar"/>
    <w:qFormat/>
    <w:rPr>
      <w:b/>
      <w:bCs/>
      <w:lang w:eastAsia="en-US"/>
    </w:rPr>
  </w:style>
  <w:style w:type="character" w:styleId="ListLabel1">
    <w:name w:val="ListLabel 1"/>
    <w:qFormat/>
    <w:rPr>
      <w:rFonts w:cs="Calibri"/>
      <w:b w:val="false"/>
      <w:bCs w:val="false"/>
      <w:i w:val="false"/>
      <w:iCs w:val="false"/>
      <w:caps w:val="false"/>
      <w:smallCaps w:val="false"/>
      <w:strike w:val="false"/>
      <w:dstrike w:val="false"/>
      <w:vanish w:val="false"/>
      <w:color w:val="000000"/>
      <w:spacing w:val="0"/>
      <w:position w:val="0"/>
      <w:sz w:val="22"/>
      <w:sz w:val="22"/>
      <w:szCs w:val="44"/>
      <w:u w:val="none"/>
      <w:effect w:val="none"/>
      <w:vertAlign w:val="baseline"/>
      <w:em w:val="none"/>
    </w:rPr>
  </w:style>
  <w:style w:type="character" w:styleId="ListLabel2">
    <w:name w:val="ListLabel 2"/>
    <w:qFormat/>
    <w:rPr>
      <w:b/>
      <w:i w:val="false"/>
    </w:rPr>
  </w:style>
  <w:style w:type="character" w:styleId="ListLabel3">
    <w:name w:val="ListLabel 3"/>
    <w:qFormat/>
    <w:rPr>
      <w:b w:val="false"/>
    </w:rPr>
  </w:style>
  <w:style w:type="character" w:styleId="ListLabel4">
    <w:name w:val="ListLabel 4"/>
    <w:qFormat/>
    <w:rPr>
      <w:b w:val="false"/>
      <w:sz w:val="24"/>
      <w:szCs w:val="20"/>
    </w:rPr>
  </w:style>
  <w:style w:type="character" w:styleId="ListLabel5">
    <w:name w:val="ListLabel 5"/>
    <w:qFormat/>
    <w:rPr>
      <w:rFonts w:cs="Arial"/>
      <w:sz w:val="22"/>
      <w:szCs w:val="22"/>
    </w:rPr>
  </w:style>
  <w:style w:type="character" w:styleId="ListLabel6">
    <w:name w:val="ListLabel 6"/>
    <w:qFormat/>
    <w:rPr>
      <w:b w:val="false"/>
      <w:i w:val="false"/>
    </w:rPr>
  </w:style>
  <w:style w:type="character" w:styleId="ListLabel7">
    <w:name w:val="ListLabel 7"/>
    <w:qFormat/>
    <w:rPr>
      <w:rFonts w:cs="Calibri"/>
      <w:i w:val="false"/>
      <w:sz w:val="44"/>
    </w:rPr>
  </w:style>
  <w:style w:type="character" w:styleId="ListLabel8">
    <w:name w:val="ListLabel 8"/>
    <w:qFormat/>
    <w:rPr>
      <w:rFonts w:cs="Courier New"/>
    </w:rPr>
  </w:style>
  <w:style w:type="paragraph" w:styleId="Heading">
    <w:name w:val="Heading"/>
    <w:basedOn w:val="Normal"/>
    <w:next w:val="TextBody"/>
    <w:qFormat/>
    <w:pPr>
      <w:keepNext/>
      <w:spacing w:before="240" w:after="120"/>
    </w:pPr>
    <w:rPr>
      <w:rFonts w:ascii="Arial" w:hAnsi="Arial" w:eastAsia="Microsoft YaHei" w:cs="Arial"/>
      <w:sz w:val="28"/>
      <w:szCs w:val="28"/>
    </w:rPr>
  </w:style>
  <w:style w:type="paragraph" w:styleId="TextBody">
    <w:name w:val="Text Body"/>
    <w:basedOn w:val="Normal"/>
    <w:pPr>
      <w:numPr>
        <w:ilvl w:val="0"/>
        <w:numId w:val="0"/>
      </w:numPr>
      <w:suppressAutoHyphens w:val="true"/>
      <w:spacing w:lineRule="auto" w:line="480"/>
      <w:jc w:val="both"/>
    </w:pPr>
    <w:rPr>
      <w:szCs w:val="24"/>
      <w:lang w:val="en-US" w:eastAsia="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sicParagraph">
    <w:name w:val="[Basic Paragraph]"/>
    <w:basedOn w:val="Normal"/>
    <w:qFormat/>
    <w:pPr>
      <w:widowControl w:val="false"/>
      <w:numPr>
        <w:ilvl w:val="0"/>
        <w:numId w:val="0"/>
      </w:numPr>
      <w:spacing w:lineRule="auto" w:line="288"/>
    </w:pPr>
    <w:rPr>
      <w:rFonts w:ascii="Times-Roman" w:hAnsi="Times-Roman" w:cs="Times-Roman"/>
      <w:color w:val="000000"/>
      <w:szCs w:val="24"/>
      <w:lang w:bidi="en-US"/>
    </w:rPr>
  </w:style>
  <w:style w:type="paragraph" w:styleId="MAINHEADER">
    <w:name w:val="MAIN HEADER"/>
    <w:basedOn w:val="Normal"/>
    <w:qFormat/>
    <w:pPr>
      <w:widowControl w:val="false"/>
      <w:numPr>
        <w:ilvl w:val="0"/>
        <w:numId w:val="0"/>
      </w:numPr>
      <w:spacing w:lineRule="auto" w:line="288"/>
    </w:pPr>
    <w:rPr>
      <w:rFonts w:ascii="AGaramondPro-Bold" w:hAnsi="AGaramondPro-Bold" w:cs="AGaramondPro-Bold"/>
      <w:b/>
      <w:bCs/>
      <w:color w:val="000000"/>
      <w:sz w:val="100"/>
      <w:szCs w:val="100"/>
      <w:lang w:bidi="en-US"/>
    </w:rPr>
  </w:style>
  <w:style w:type="paragraph" w:styleId="Footer">
    <w:name w:val="Footer"/>
    <w:basedOn w:val="Normal"/>
    <w:pPr>
      <w:numPr>
        <w:ilvl w:val="0"/>
        <w:numId w:val="0"/>
      </w:numPr>
      <w:suppressLineNumbers/>
      <w:tabs>
        <w:tab w:val="center" w:pos="4153" w:leader="none"/>
        <w:tab w:val="right" w:pos="8306" w:leader="none"/>
      </w:tabs>
    </w:pPr>
    <w:rPr/>
  </w:style>
  <w:style w:type="paragraph" w:styleId="Header">
    <w:name w:val="Header"/>
    <w:basedOn w:val="Normal"/>
    <w:pPr>
      <w:numPr>
        <w:ilvl w:val="0"/>
        <w:numId w:val="0"/>
      </w:numPr>
      <w:suppressLineNumbers/>
      <w:tabs>
        <w:tab w:val="center" w:pos="4153" w:leader="none"/>
        <w:tab w:val="right" w:pos="8306" w:leader="none"/>
      </w:tabs>
    </w:pPr>
    <w:rPr/>
  </w:style>
  <w:style w:type="paragraph" w:styleId="ListParagraph">
    <w:name w:val="List Paragraph"/>
    <w:basedOn w:val="Normal"/>
    <w:qFormat/>
    <w:pPr>
      <w:numPr>
        <w:ilvl w:val="0"/>
        <w:numId w:val="0"/>
      </w:numPr>
      <w:ind w:left="720" w:right="0" w:hanging="0"/>
    </w:pPr>
    <w:rPr/>
  </w:style>
  <w:style w:type="paragraph" w:styleId="BalloonText">
    <w:name w:val="Balloon Text"/>
    <w:basedOn w:val="Normal"/>
    <w:qFormat/>
    <w:pPr>
      <w:numPr>
        <w:ilvl w:val="0"/>
        <w:numId w:val="0"/>
      </w:numPr>
    </w:pPr>
    <w:rPr>
      <w:rFonts w:ascii="Tahoma" w:hAnsi="Tahoma" w:cs="Tahoma"/>
      <w:sz w:val="16"/>
      <w:szCs w:val="16"/>
    </w:rPr>
  </w:style>
  <w:style w:type="paragraph" w:styleId="Footnotetext">
    <w:name w:val="footnote text"/>
    <w:basedOn w:val="Normal"/>
    <w:qFormat/>
    <w:pPr>
      <w:numPr>
        <w:ilvl w:val="0"/>
        <w:numId w:val="0"/>
      </w:numPr>
    </w:pPr>
    <w:rPr>
      <w:sz w:val="20"/>
    </w:rPr>
  </w:style>
  <w:style w:type="paragraph" w:styleId="Endnotetext">
    <w:name w:val="endnote text"/>
    <w:basedOn w:val="Normal"/>
    <w:qFormat/>
    <w:pPr>
      <w:numPr>
        <w:ilvl w:val="0"/>
        <w:numId w:val="0"/>
      </w:numPr>
    </w:pPr>
    <w:rPr>
      <w:sz w:val="20"/>
    </w:rPr>
  </w:style>
  <w:style w:type="paragraph" w:styleId="C3">
    <w:name w:val="c3"/>
    <w:basedOn w:val="Normal"/>
    <w:qFormat/>
    <w:pPr>
      <w:numPr>
        <w:ilvl w:val="0"/>
        <w:numId w:val="0"/>
      </w:numPr>
      <w:jc w:val="center"/>
    </w:pPr>
    <w:rPr>
      <w:szCs w:val="24"/>
      <w:lang w:eastAsia="en-GB"/>
    </w:rPr>
  </w:style>
  <w:style w:type="paragraph" w:styleId="C13">
    <w:name w:val="c13"/>
    <w:basedOn w:val="Normal"/>
    <w:qFormat/>
    <w:pPr>
      <w:numPr>
        <w:ilvl w:val="0"/>
        <w:numId w:val="0"/>
      </w:numPr>
      <w:ind w:left="960" w:right="0" w:hanging="960"/>
    </w:pPr>
    <w:rPr>
      <w:szCs w:val="24"/>
      <w:lang w:eastAsia="en-GB"/>
    </w:rPr>
  </w:style>
  <w:style w:type="paragraph" w:styleId="Text1">
    <w:name w:val="text1"/>
    <w:basedOn w:val="Normal"/>
    <w:qFormat/>
    <w:pPr>
      <w:numPr>
        <w:ilvl w:val="0"/>
        <w:numId w:val="0"/>
      </w:numPr>
      <w:spacing w:lineRule="auto" w:line="360" w:before="100" w:after="100"/>
    </w:pPr>
    <w:rPr>
      <w:szCs w:val="24"/>
      <w:lang w:eastAsia="en-GB"/>
    </w:rPr>
  </w:style>
  <w:style w:type="paragraph" w:styleId="Contents1">
    <w:name w:val="Contents 1"/>
    <w:basedOn w:val="Normal"/>
    <w:pPr>
      <w:numPr>
        <w:ilvl w:val="0"/>
        <w:numId w:val="0"/>
      </w:numPr>
      <w:tabs>
        <w:tab w:val="left" w:pos="440" w:leader="none"/>
        <w:tab w:val="right" w:pos="8222" w:leader="dot"/>
      </w:tabs>
      <w:spacing w:before="0" w:after="100"/>
      <w:ind w:left="426" w:right="0" w:hanging="426"/>
    </w:pPr>
    <w:rPr>
      <w:rFonts w:ascii="Calibri" w:hAnsi="Calibri" w:cs="Calibri"/>
      <w:b/>
      <w:bCs/>
      <w:color w:val="000000"/>
      <w:szCs w:val="32"/>
    </w:rPr>
  </w:style>
  <w:style w:type="paragraph" w:styleId="NoSpacing">
    <w:name w:val="No Spacing"/>
    <w:qFormat/>
    <w:pPr>
      <w:widowControl/>
      <w:numPr>
        <w:ilvl w:val="0"/>
        <w:numId w:val="0"/>
      </w:numPr>
      <w:kinsoku w:val="true"/>
      <w:overflowPunct w:val="true"/>
      <w:autoSpaceDE w:val="true"/>
      <w:bidi w:val="0"/>
    </w:pPr>
    <w:rPr>
      <w:rFonts w:eastAsia="Calibri" w:ascii="Times New Roman" w:hAnsi="Times New Roman" w:cs="Times New Roman"/>
      <w:color w:val="auto"/>
      <w:sz w:val="24"/>
      <w:szCs w:val="24"/>
      <w:lang w:eastAsia="en-US" w:val="en-GB" w:bidi="ar-SA"/>
    </w:rPr>
  </w:style>
  <w:style w:type="paragraph" w:styleId="Contents2">
    <w:name w:val="Contents 2"/>
    <w:basedOn w:val="Normal"/>
    <w:pPr>
      <w:numPr>
        <w:ilvl w:val="0"/>
        <w:numId w:val="0"/>
      </w:numPr>
      <w:tabs>
        <w:tab w:val="left" w:pos="660" w:leader="none"/>
        <w:tab w:val="right" w:pos="9486" w:leader="dot"/>
      </w:tabs>
      <w:spacing w:lineRule="auto" w:line="276" w:before="40" w:after="40"/>
      <w:ind w:left="220" w:right="0" w:hanging="0"/>
    </w:pPr>
    <w:rPr>
      <w:rFonts w:ascii="Calibri" w:hAnsi="Calibri"/>
      <w:szCs w:val="22"/>
      <w:lang w:val="en-US" w:eastAsia="ja-JP"/>
    </w:rPr>
  </w:style>
  <w:style w:type="paragraph" w:styleId="Contents3">
    <w:name w:val="Contents 3"/>
    <w:basedOn w:val="Normal"/>
    <w:pPr>
      <w:numPr>
        <w:ilvl w:val="0"/>
        <w:numId w:val="0"/>
      </w:numPr>
      <w:tabs>
        <w:tab w:val="right" w:pos="9072" w:leader="dot"/>
      </w:tabs>
      <w:spacing w:lineRule="auto" w:line="276" w:before="0" w:after="100"/>
      <w:ind w:left="440" w:right="0" w:hanging="0"/>
    </w:pPr>
    <w:rPr>
      <w:rFonts w:ascii="Calibri" w:hAnsi="Calibri"/>
      <w:sz w:val="22"/>
      <w:szCs w:val="22"/>
      <w:lang w:val="en-US" w:eastAsia="ja-JP"/>
    </w:rPr>
  </w:style>
  <w:style w:type="paragraph" w:styleId="NoParagraphStyle">
    <w:name w:val="[No Paragraph Style]"/>
    <w:qFormat/>
    <w:pPr>
      <w:widowControl w:val="false"/>
      <w:numPr>
        <w:ilvl w:val="0"/>
        <w:numId w:val="0"/>
      </w:numPr>
      <w:kinsoku w:val="true"/>
      <w:overflowPunct w:val="true"/>
      <w:autoSpaceDE w:val="true"/>
      <w:bidi w:val="0"/>
      <w:spacing w:lineRule="auto" w:line="288"/>
    </w:pPr>
    <w:rPr>
      <w:rFonts w:ascii="Times-Roman" w:hAnsi="Times-Roman" w:cs="Times-Roman" w:eastAsia="Times New Roman"/>
      <w:color w:val="000000"/>
      <w:sz w:val="24"/>
      <w:szCs w:val="24"/>
      <w:lang w:eastAsia="en-US" w:bidi="en-US" w:val="en-GB"/>
    </w:rPr>
  </w:style>
  <w:style w:type="paragraph" w:styleId="Head1">
    <w:name w:val="Head 1"/>
    <w:basedOn w:val="Normal"/>
    <w:qFormat/>
    <w:pPr>
      <w:widowControl w:val="false"/>
      <w:numPr>
        <w:ilvl w:val="0"/>
        <w:numId w:val="0"/>
      </w:numPr>
      <w:suppressAutoHyphens w:val="true"/>
      <w:spacing w:lineRule="auto" w:line="288"/>
    </w:pPr>
    <w:rPr>
      <w:rFonts w:ascii="Arial" w:hAnsi="Arial" w:cs="Arial"/>
      <w:b/>
      <w:color w:val="000000"/>
      <w:sz w:val="40"/>
      <w:szCs w:val="40"/>
      <w:lang w:bidi="en-US"/>
    </w:rPr>
  </w:style>
  <w:style w:type="paragraph" w:styleId="ListBullet">
    <w:name w:val="List Bullet"/>
    <w:basedOn w:val="Normal"/>
    <w:qFormat/>
    <w:pPr>
      <w:numPr>
        <w:ilvl w:val="0"/>
        <w:numId w:val="0"/>
      </w:numPr>
    </w:pPr>
    <w:rPr/>
  </w:style>
  <w:style w:type="paragraph" w:styleId="Heading21">
    <w:name w:val="Heading 21"/>
    <w:basedOn w:val="Heading2"/>
    <w:qFormat/>
    <w:pPr>
      <w:numPr>
        <w:ilvl w:val="0"/>
        <w:numId w:val="0"/>
      </w:numPr>
    </w:pPr>
    <w:rPr>
      <w:rFonts w:ascii="Calibri" w:hAnsi="Calibri"/>
      <w:color w:val="000000"/>
      <w:sz w:val="24"/>
    </w:rPr>
  </w:style>
  <w:style w:type="paragraph" w:styleId="NormalWeb">
    <w:name w:val="Normal (Web)"/>
    <w:basedOn w:val="Normal"/>
    <w:qFormat/>
    <w:pPr>
      <w:numPr>
        <w:ilvl w:val="0"/>
        <w:numId w:val="0"/>
      </w:numPr>
      <w:spacing w:before="100" w:after="100"/>
    </w:pPr>
    <w:rPr>
      <w:rFonts w:eastAsia="Calibri"/>
      <w:szCs w:val="24"/>
      <w:lang w:eastAsia="en-GB"/>
    </w:rPr>
  </w:style>
  <w:style w:type="paragraph" w:styleId="Annotationtext">
    <w:name w:val="annotation text"/>
    <w:basedOn w:val="Normal"/>
    <w:qFormat/>
    <w:pPr>
      <w:numPr>
        <w:ilvl w:val="0"/>
        <w:numId w:val="0"/>
      </w:numPr>
    </w:pPr>
    <w:rPr>
      <w:sz w:val="20"/>
    </w:rPr>
  </w:style>
  <w:style w:type="paragraph" w:styleId="Annotationsubject">
    <w:name w:val="annotation subject"/>
    <w:basedOn w:val="Annotationtext"/>
    <w:qFormat/>
    <w:pPr>
      <w:numPr>
        <w:ilvl w:val="0"/>
        <w:numId w:val="0"/>
      </w:numPr>
    </w:pPr>
    <w:rPr>
      <w:b/>
      <w:bCs/>
    </w:rPr>
  </w:style>
  <w:style w:type="paragraph" w:styleId="Revision">
    <w:name w:val="Revision"/>
    <w:qFormat/>
    <w:pPr>
      <w:widowControl/>
      <w:numPr>
        <w:ilvl w:val="0"/>
        <w:numId w:val="0"/>
      </w:numPr>
      <w:kinsoku w:val="true"/>
      <w:overflowPunct w:val="true"/>
      <w:autoSpaceDE w:val="true"/>
      <w:bidi w:val="0"/>
    </w:pPr>
    <w:rPr>
      <w:rFonts w:ascii="Times New Roman" w:hAnsi="Times New Roman" w:eastAsia="Times New Roman" w:cs="Times New Roman"/>
      <w:color w:val="auto"/>
      <w:sz w:val="24"/>
      <w:szCs w:val="20"/>
      <w:lang w:eastAsia="en-US" w:val="en-GB" w:bidi="ar-SA"/>
    </w:rPr>
  </w:style>
  <w:style w:type="paragraph" w:styleId="TableContents">
    <w:name w:val="Table Contents"/>
    <w:basedOn w:val="Normal"/>
    <w:qFormat/>
    <w:pPr>
      <w:suppressLineNumbers/>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LibreOffice/5.0.2.2$Windows_X86_64 LibreOffice_project/37b43f919e4de5eeaca9b9755ed688758a8251fe</Application>
  <Paragraphs>353</Paragraphs>
  <Company>NALC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2018-04-09T09:14:00Z</dcterms:created>
  <dc:creator>Claire</dc:creator>
  <dc:language>en-GB</dc:language>
  <cp:lastPrinted>2018-03-21T14:20:00Z</cp:lastPrinted>
  <dcterms:modified xsi:type="dcterms:W3CDTF">2021-03-01T19:50:57Z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NALC</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